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000" w:firstRow="0" w:lastRow="0" w:firstColumn="0" w:lastColumn="0" w:noHBand="0" w:noVBand="0"/>
      </w:tblPr>
      <w:tblGrid>
        <w:gridCol w:w="2254"/>
        <w:gridCol w:w="6746"/>
      </w:tblGrid>
      <w:tr w:rsidR="00044533">
        <w:tblPrEx>
          <w:tblCellMar>
            <w:top w:w="0" w:type="dxa"/>
            <w:bottom w:w="0" w:type="dxa"/>
          </w:tblCellMar>
        </w:tblPrEx>
        <w:trPr>
          <w:tblCellSpacing w:w="60" w:type="dxa"/>
        </w:trPr>
        <w:tc>
          <w:tcPr>
            <w:tcW w:w="1200" w:type="pct"/>
            <w:shd w:val="clear" w:color="auto" w:fill="E7F0F9"/>
          </w:tcPr>
          <w:p w:rsidR="00044533" w:rsidRDefault="005D51D1">
            <w:pPr>
              <w:spacing w:after="0" w:line="240" w:lineRule="auto"/>
            </w:pPr>
            <w:r>
              <w:rPr>
                <w:b/>
              </w:rPr>
              <w:t>RKP broj</w:t>
            </w:r>
          </w:p>
        </w:tc>
        <w:tc>
          <w:tcPr>
            <w:tcW w:w="0" w:type="auto"/>
            <w:shd w:val="clear" w:color="auto" w:fill="E7F0F9"/>
          </w:tcPr>
          <w:p w:rsidR="00044533" w:rsidRDefault="005D51D1">
            <w:pPr>
              <w:spacing w:after="0" w:line="240" w:lineRule="auto"/>
            </w:pPr>
            <w:r>
              <w:t>7995</w:t>
            </w:r>
          </w:p>
        </w:tc>
      </w:tr>
      <w:tr w:rsidR="00044533">
        <w:tblPrEx>
          <w:tblCellMar>
            <w:top w:w="0" w:type="dxa"/>
            <w:bottom w:w="0" w:type="dxa"/>
          </w:tblCellMar>
        </w:tblPrEx>
        <w:trPr>
          <w:tblCellSpacing w:w="60" w:type="dxa"/>
        </w:trPr>
        <w:tc>
          <w:tcPr>
            <w:tcW w:w="1200" w:type="pct"/>
            <w:shd w:val="clear" w:color="auto" w:fill="E7F0F9"/>
          </w:tcPr>
          <w:p w:rsidR="00044533" w:rsidRDefault="005D51D1">
            <w:pPr>
              <w:spacing w:after="0" w:line="240" w:lineRule="auto"/>
            </w:pPr>
            <w:r>
              <w:rPr>
                <w:b/>
              </w:rPr>
              <w:t>Naziv obveznika</w:t>
            </w:r>
          </w:p>
        </w:tc>
        <w:tc>
          <w:tcPr>
            <w:tcW w:w="0" w:type="auto"/>
            <w:shd w:val="clear" w:color="auto" w:fill="E7F0F9"/>
          </w:tcPr>
          <w:p w:rsidR="00044533" w:rsidRDefault="005D51D1">
            <w:pPr>
              <w:spacing w:after="0" w:line="240" w:lineRule="auto"/>
            </w:pPr>
            <w:r>
              <w:t>DOM ZA STARIJE I NEMOĆNE OSOBE SVETA ANA, ZAGREB</w:t>
            </w:r>
          </w:p>
        </w:tc>
      </w:tr>
      <w:tr w:rsidR="00044533">
        <w:tblPrEx>
          <w:tblCellMar>
            <w:top w:w="0" w:type="dxa"/>
            <w:bottom w:w="0" w:type="dxa"/>
          </w:tblCellMar>
        </w:tblPrEx>
        <w:trPr>
          <w:tblCellSpacing w:w="60" w:type="dxa"/>
        </w:trPr>
        <w:tc>
          <w:tcPr>
            <w:tcW w:w="1200" w:type="pct"/>
            <w:shd w:val="clear" w:color="auto" w:fill="E7F0F9"/>
          </w:tcPr>
          <w:p w:rsidR="00044533" w:rsidRDefault="005D51D1">
            <w:pPr>
              <w:spacing w:after="0" w:line="240" w:lineRule="auto"/>
            </w:pPr>
            <w:r>
              <w:rPr>
                <w:b/>
              </w:rPr>
              <w:t>Razina</w:t>
            </w:r>
          </w:p>
        </w:tc>
        <w:tc>
          <w:tcPr>
            <w:tcW w:w="0" w:type="auto"/>
            <w:shd w:val="clear" w:color="auto" w:fill="E7F0F9"/>
          </w:tcPr>
          <w:p w:rsidR="00044533" w:rsidRDefault="005D51D1">
            <w:pPr>
              <w:spacing w:after="0" w:line="240" w:lineRule="auto"/>
            </w:pPr>
            <w:r>
              <w:t>31</w:t>
            </w:r>
          </w:p>
        </w:tc>
      </w:tr>
    </w:tbl>
    <w:p w:rsidR="00044533" w:rsidRDefault="005D51D1">
      <w:r>
        <w:br/>
      </w:r>
    </w:p>
    <w:p w:rsidR="00044533" w:rsidRDefault="005D51D1">
      <w:pPr>
        <w:spacing w:line="240" w:lineRule="auto"/>
        <w:jc w:val="center"/>
      </w:pPr>
      <w:r>
        <w:rPr>
          <w:b/>
          <w:sz w:val="28"/>
        </w:rPr>
        <w:t>BILJEŠKE UZ FINANCIJSKE IZVJEŠTAJE</w:t>
      </w:r>
    </w:p>
    <w:p w:rsidR="00044533" w:rsidRDefault="005D51D1">
      <w:pPr>
        <w:spacing w:line="240" w:lineRule="auto"/>
        <w:jc w:val="center"/>
      </w:pPr>
      <w:r>
        <w:rPr>
          <w:b/>
          <w:sz w:val="28"/>
        </w:rPr>
        <w:t>ZA RAZDOBLJE</w:t>
      </w:r>
    </w:p>
    <w:p w:rsidR="00044533" w:rsidRDefault="005D51D1">
      <w:pPr>
        <w:spacing w:line="240" w:lineRule="auto"/>
        <w:jc w:val="center"/>
      </w:pPr>
      <w:r>
        <w:rPr>
          <w:b/>
          <w:sz w:val="28"/>
        </w:rPr>
        <w:t>I - XII 2025.</w:t>
      </w:r>
    </w:p>
    <w:p w:rsidR="00044533" w:rsidRDefault="00044533"/>
    <w:p w:rsidR="00044533" w:rsidRDefault="005D51D1">
      <w:pPr>
        <w:keepNext/>
        <w:spacing w:line="240" w:lineRule="auto"/>
        <w:jc w:val="center"/>
      </w:pPr>
      <w:r>
        <w:rPr>
          <w:b/>
          <w:sz w:val="28"/>
        </w:rPr>
        <w:t>Izvještaj o prihodima i rashodima, primicima i izdacima</w:t>
      </w:r>
    </w:p>
    <w:p w:rsidR="00044533" w:rsidRDefault="005D51D1">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044533">
        <w:tblPrEx>
          <w:tblCellMar>
            <w:top w:w="0" w:type="dxa"/>
            <w:bottom w:w="0" w:type="dxa"/>
          </w:tblCellMar>
        </w:tblPrEx>
        <w:trPr>
          <w:cantSplit/>
        </w:trPr>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 xml:space="preserve">Opis </w:t>
            </w:r>
            <w:r>
              <w:rPr>
                <w:b/>
                <w:sz w:val="18"/>
              </w:rPr>
              <w:t>stavke</w:t>
            </w:r>
          </w:p>
        </w:tc>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Indeks (%)</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6</w:t>
            </w:r>
          </w:p>
        </w:tc>
        <w:tc>
          <w:tcPr>
            <w:tcW w:w="3180" w:type="dxa"/>
            <w:tcMar>
              <w:top w:w="0" w:type="dxa"/>
              <w:bottom w:w="0" w:type="dxa"/>
            </w:tcMar>
            <w:vAlign w:val="center"/>
          </w:tcPr>
          <w:p w:rsidR="00044533" w:rsidRDefault="005D51D1">
            <w:pPr>
              <w:keepNext/>
              <w:keepLines/>
              <w:spacing w:after="0" w:line="240" w:lineRule="auto"/>
            </w:pPr>
            <w:r>
              <w:rPr>
                <w:sz w:val="18"/>
              </w:rPr>
              <w:t>PRIHODI POSLOVANJA (šifre 61+62+63+64+65+66+67+68)</w:t>
            </w:r>
          </w:p>
        </w:tc>
        <w:tc>
          <w:tcPr>
            <w:tcW w:w="700" w:type="dxa"/>
            <w:tcMar>
              <w:top w:w="0" w:type="dxa"/>
              <w:bottom w:w="0" w:type="dxa"/>
            </w:tcMar>
            <w:vAlign w:val="center"/>
          </w:tcPr>
          <w:p w:rsidR="00044533" w:rsidRDefault="005D51D1">
            <w:pPr>
              <w:keepNext/>
              <w:keepLines/>
              <w:spacing w:after="0" w:line="240" w:lineRule="auto"/>
            </w:pPr>
            <w:r>
              <w:rPr>
                <w:sz w:val="18"/>
              </w:rPr>
              <w:t>6</w:t>
            </w:r>
          </w:p>
        </w:tc>
        <w:tc>
          <w:tcPr>
            <w:tcW w:w="1860" w:type="dxa"/>
            <w:tcMar>
              <w:top w:w="0" w:type="dxa"/>
              <w:bottom w:w="0" w:type="dxa"/>
            </w:tcMar>
            <w:vAlign w:val="center"/>
          </w:tcPr>
          <w:p w:rsidR="00044533" w:rsidRDefault="005D51D1">
            <w:pPr>
              <w:keepNext/>
              <w:keepLines/>
              <w:spacing w:after="0" w:line="240" w:lineRule="auto"/>
              <w:jc w:val="right"/>
            </w:pPr>
            <w:r>
              <w:rPr>
                <w:sz w:val="18"/>
              </w:rPr>
              <w:t>5.198.511,05</w:t>
            </w:r>
          </w:p>
        </w:tc>
        <w:tc>
          <w:tcPr>
            <w:tcW w:w="1860" w:type="dxa"/>
            <w:tcMar>
              <w:top w:w="0" w:type="dxa"/>
              <w:bottom w:w="0" w:type="dxa"/>
            </w:tcMar>
            <w:vAlign w:val="center"/>
          </w:tcPr>
          <w:p w:rsidR="00044533" w:rsidRDefault="005D51D1">
            <w:pPr>
              <w:keepNext/>
              <w:keepLines/>
              <w:spacing w:after="0" w:line="240" w:lineRule="auto"/>
              <w:jc w:val="right"/>
            </w:pPr>
            <w:r>
              <w:rPr>
                <w:sz w:val="18"/>
              </w:rPr>
              <w:t>5.306.893,03</w:t>
            </w:r>
          </w:p>
        </w:tc>
        <w:tc>
          <w:tcPr>
            <w:tcW w:w="700" w:type="dxa"/>
            <w:tcMar>
              <w:top w:w="0" w:type="dxa"/>
              <w:bottom w:w="0" w:type="dxa"/>
            </w:tcMar>
            <w:vAlign w:val="center"/>
          </w:tcPr>
          <w:p w:rsidR="00044533" w:rsidRDefault="005D51D1">
            <w:pPr>
              <w:keepNext/>
              <w:keepLines/>
              <w:spacing w:after="0" w:line="240" w:lineRule="auto"/>
              <w:jc w:val="right"/>
            </w:pPr>
            <w:r>
              <w:rPr>
                <w:sz w:val="18"/>
              </w:rPr>
              <w:t>102,1</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3</w:t>
            </w:r>
          </w:p>
        </w:tc>
        <w:tc>
          <w:tcPr>
            <w:tcW w:w="3180" w:type="dxa"/>
            <w:tcMar>
              <w:top w:w="0" w:type="dxa"/>
              <w:bottom w:w="0" w:type="dxa"/>
            </w:tcMar>
            <w:vAlign w:val="center"/>
          </w:tcPr>
          <w:p w:rsidR="00044533" w:rsidRDefault="005D51D1">
            <w:pPr>
              <w:keepNext/>
              <w:keepLines/>
              <w:spacing w:after="0" w:line="240" w:lineRule="auto"/>
            </w:pPr>
            <w:r>
              <w:rPr>
                <w:sz w:val="18"/>
              </w:rPr>
              <w:t xml:space="preserve">RASHODI POSLOVANJA (šifre </w:t>
            </w:r>
            <w:r>
              <w:rPr>
                <w:sz w:val="18"/>
              </w:rPr>
              <w:t>31+32+34+35+36+37+38)</w:t>
            </w:r>
          </w:p>
        </w:tc>
        <w:tc>
          <w:tcPr>
            <w:tcW w:w="700" w:type="dxa"/>
            <w:tcMar>
              <w:top w:w="0" w:type="dxa"/>
              <w:bottom w:w="0" w:type="dxa"/>
            </w:tcMar>
            <w:vAlign w:val="center"/>
          </w:tcPr>
          <w:p w:rsidR="00044533" w:rsidRDefault="005D51D1">
            <w:pPr>
              <w:keepNext/>
              <w:keepLines/>
              <w:spacing w:after="0" w:line="240" w:lineRule="auto"/>
            </w:pPr>
            <w:r>
              <w:rPr>
                <w:sz w:val="18"/>
              </w:rPr>
              <w:t>3</w:t>
            </w:r>
          </w:p>
        </w:tc>
        <w:tc>
          <w:tcPr>
            <w:tcW w:w="1860" w:type="dxa"/>
            <w:tcMar>
              <w:top w:w="0" w:type="dxa"/>
              <w:bottom w:w="0" w:type="dxa"/>
            </w:tcMar>
            <w:vAlign w:val="center"/>
          </w:tcPr>
          <w:p w:rsidR="00044533" w:rsidRDefault="005D51D1">
            <w:pPr>
              <w:keepNext/>
              <w:keepLines/>
              <w:spacing w:after="0" w:line="240" w:lineRule="auto"/>
              <w:jc w:val="right"/>
            </w:pPr>
            <w:r>
              <w:rPr>
                <w:sz w:val="18"/>
              </w:rPr>
              <w:t>5.023.410,82</w:t>
            </w:r>
          </w:p>
        </w:tc>
        <w:tc>
          <w:tcPr>
            <w:tcW w:w="1860" w:type="dxa"/>
            <w:tcMar>
              <w:top w:w="0" w:type="dxa"/>
              <w:bottom w:w="0" w:type="dxa"/>
            </w:tcMar>
            <w:vAlign w:val="center"/>
          </w:tcPr>
          <w:p w:rsidR="00044533" w:rsidRDefault="005D51D1">
            <w:pPr>
              <w:keepNext/>
              <w:keepLines/>
              <w:spacing w:after="0" w:line="240" w:lineRule="auto"/>
              <w:jc w:val="right"/>
            </w:pPr>
            <w:r>
              <w:rPr>
                <w:sz w:val="18"/>
              </w:rPr>
              <w:t>5.344.729,12</w:t>
            </w:r>
          </w:p>
        </w:tc>
        <w:tc>
          <w:tcPr>
            <w:tcW w:w="700" w:type="dxa"/>
            <w:tcMar>
              <w:top w:w="0" w:type="dxa"/>
              <w:bottom w:w="0" w:type="dxa"/>
            </w:tcMar>
            <w:vAlign w:val="center"/>
          </w:tcPr>
          <w:p w:rsidR="00044533" w:rsidRDefault="005D51D1">
            <w:pPr>
              <w:keepNext/>
              <w:keepLines/>
              <w:spacing w:after="0" w:line="240" w:lineRule="auto"/>
              <w:jc w:val="right"/>
            </w:pPr>
            <w:r>
              <w:rPr>
                <w:sz w:val="18"/>
              </w:rPr>
              <w:t>106,4</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044533">
            <w:pPr>
              <w:keepNext/>
              <w:keepLines/>
              <w:spacing w:after="0" w:line="240" w:lineRule="auto"/>
            </w:pPr>
          </w:p>
        </w:tc>
        <w:tc>
          <w:tcPr>
            <w:tcW w:w="3180" w:type="dxa"/>
            <w:tcMar>
              <w:top w:w="0" w:type="dxa"/>
              <w:bottom w:w="0" w:type="dxa"/>
            </w:tcMar>
            <w:vAlign w:val="center"/>
          </w:tcPr>
          <w:p w:rsidR="00044533" w:rsidRDefault="005D51D1">
            <w:pPr>
              <w:keepNext/>
              <w:keepLines/>
              <w:spacing w:after="0" w:line="240" w:lineRule="auto"/>
            </w:pPr>
            <w:r>
              <w:rPr>
                <w:b/>
                <w:sz w:val="18"/>
              </w:rPr>
              <w:t>MANJAK PRIHODA POSLOVANJA (šifre Z005-6)</w:t>
            </w:r>
          </w:p>
        </w:tc>
        <w:tc>
          <w:tcPr>
            <w:tcW w:w="700" w:type="dxa"/>
            <w:tcMar>
              <w:top w:w="0" w:type="dxa"/>
              <w:bottom w:w="0" w:type="dxa"/>
            </w:tcMar>
            <w:vAlign w:val="center"/>
          </w:tcPr>
          <w:p w:rsidR="00044533" w:rsidRDefault="005D51D1">
            <w:pPr>
              <w:keepNext/>
              <w:keepLines/>
              <w:spacing w:after="0" w:line="240" w:lineRule="auto"/>
            </w:pPr>
            <w:r>
              <w:rPr>
                <w:b/>
                <w:sz w:val="18"/>
              </w:rPr>
              <w:t>Y001</w:t>
            </w:r>
          </w:p>
        </w:tc>
        <w:tc>
          <w:tcPr>
            <w:tcW w:w="1860" w:type="dxa"/>
            <w:tcMar>
              <w:top w:w="0" w:type="dxa"/>
              <w:bottom w:w="0" w:type="dxa"/>
            </w:tcMar>
            <w:vAlign w:val="center"/>
          </w:tcPr>
          <w:p w:rsidR="00044533" w:rsidRDefault="005D51D1">
            <w:pPr>
              <w:keepNext/>
              <w:keepLines/>
              <w:spacing w:after="0" w:line="240" w:lineRule="auto"/>
              <w:jc w:val="right"/>
            </w:pPr>
            <w:r>
              <w:rPr>
                <w:b/>
                <w:sz w:val="18"/>
              </w:rPr>
              <w:t>0,00</w:t>
            </w:r>
          </w:p>
        </w:tc>
        <w:tc>
          <w:tcPr>
            <w:tcW w:w="1860" w:type="dxa"/>
            <w:tcMar>
              <w:top w:w="0" w:type="dxa"/>
              <w:bottom w:w="0" w:type="dxa"/>
            </w:tcMar>
            <w:vAlign w:val="center"/>
          </w:tcPr>
          <w:p w:rsidR="00044533" w:rsidRDefault="005D51D1">
            <w:pPr>
              <w:keepNext/>
              <w:keepLines/>
              <w:spacing w:after="0" w:line="240" w:lineRule="auto"/>
              <w:jc w:val="right"/>
            </w:pPr>
            <w:r>
              <w:rPr>
                <w:b/>
                <w:sz w:val="18"/>
              </w:rPr>
              <w:t>37.836,09</w:t>
            </w:r>
          </w:p>
        </w:tc>
        <w:tc>
          <w:tcPr>
            <w:tcW w:w="700" w:type="dxa"/>
            <w:tcMar>
              <w:top w:w="0" w:type="dxa"/>
              <w:bottom w:w="0" w:type="dxa"/>
            </w:tcMar>
            <w:vAlign w:val="center"/>
          </w:tcPr>
          <w:p w:rsidR="00044533" w:rsidRDefault="005D51D1">
            <w:pPr>
              <w:keepNext/>
              <w:keepLines/>
              <w:spacing w:after="0" w:line="240" w:lineRule="auto"/>
              <w:jc w:val="right"/>
            </w:pPr>
            <w:r>
              <w:rPr>
                <w:b/>
                <w:sz w:val="18"/>
              </w:rPr>
              <w:t>-</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7</w:t>
            </w:r>
          </w:p>
        </w:tc>
        <w:tc>
          <w:tcPr>
            <w:tcW w:w="3180" w:type="dxa"/>
            <w:tcMar>
              <w:top w:w="0" w:type="dxa"/>
              <w:bottom w:w="0" w:type="dxa"/>
            </w:tcMar>
            <w:vAlign w:val="center"/>
          </w:tcPr>
          <w:p w:rsidR="00044533" w:rsidRDefault="005D51D1">
            <w:pPr>
              <w:keepNext/>
              <w:keepLines/>
              <w:spacing w:after="0" w:line="240" w:lineRule="auto"/>
            </w:pPr>
            <w:r>
              <w:rPr>
                <w:sz w:val="18"/>
              </w:rPr>
              <w:t>Prihodi od prodaje nefinancijske imovine (šifre 71+72+73+74)</w:t>
            </w:r>
          </w:p>
        </w:tc>
        <w:tc>
          <w:tcPr>
            <w:tcW w:w="700" w:type="dxa"/>
            <w:tcMar>
              <w:top w:w="0" w:type="dxa"/>
              <w:bottom w:w="0" w:type="dxa"/>
            </w:tcMar>
            <w:vAlign w:val="center"/>
          </w:tcPr>
          <w:p w:rsidR="00044533" w:rsidRDefault="005D51D1">
            <w:pPr>
              <w:keepNext/>
              <w:keepLines/>
              <w:spacing w:after="0" w:line="240" w:lineRule="auto"/>
            </w:pPr>
            <w:r>
              <w:rPr>
                <w:sz w:val="18"/>
              </w:rPr>
              <w:t>7</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700" w:type="dxa"/>
            <w:tcMar>
              <w:top w:w="0" w:type="dxa"/>
              <w:bottom w:w="0" w:type="dxa"/>
            </w:tcMar>
            <w:vAlign w:val="center"/>
          </w:tcPr>
          <w:p w:rsidR="00044533" w:rsidRDefault="005D51D1">
            <w:pPr>
              <w:keepNext/>
              <w:keepLines/>
              <w:spacing w:after="0" w:line="240" w:lineRule="auto"/>
              <w:jc w:val="right"/>
            </w:pPr>
            <w:r>
              <w:rPr>
                <w:sz w:val="18"/>
              </w:rPr>
              <w:t>-</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4</w:t>
            </w:r>
          </w:p>
        </w:tc>
        <w:tc>
          <w:tcPr>
            <w:tcW w:w="3180" w:type="dxa"/>
            <w:tcMar>
              <w:top w:w="0" w:type="dxa"/>
              <w:bottom w:w="0" w:type="dxa"/>
            </w:tcMar>
            <w:vAlign w:val="center"/>
          </w:tcPr>
          <w:p w:rsidR="00044533" w:rsidRDefault="005D51D1">
            <w:pPr>
              <w:keepNext/>
              <w:keepLines/>
              <w:spacing w:after="0" w:line="240" w:lineRule="auto"/>
            </w:pPr>
            <w:r>
              <w:rPr>
                <w:sz w:val="18"/>
              </w:rPr>
              <w:t xml:space="preserve">Rashodi za nabavu nefinancijske imovine (šifre </w:t>
            </w:r>
            <w:r>
              <w:rPr>
                <w:sz w:val="18"/>
              </w:rPr>
              <w:t>41+42+43+44+45)</w:t>
            </w:r>
          </w:p>
        </w:tc>
        <w:tc>
          <w:tcPr>
            <w:tcW w:w="700" w:type="dxa"/>
            <w:tcMar>
              <w:top w:w="0" w:type="dxa"/>
              <w:bottom w:w="0" w:type="dxa"/>
            </w:tcMar>
            <w:vAlign w:val="center"/>
          </w:tcPr>
          <w:p w:rsidR="00044533" w:rsidRDefault="005D51D1">
            <w:pPr>
              <w:keepNext/>
              <w:keepLines/>
              <w:spacing w:after="0" w:line="240" w:lineRule="auto"/>
            </w:pPr>
            <w:r>
              <w:rPr>
                <w:sz w:val="18"/>
              </w:rPr>
              <w:t>4</w:t>
            </w:r>
          </w:p>
        </w:tc>
        <w:tc>
          <w:tcPr>
            <w:tcW w:w="1860" w:type="dxa"/>
            <w:tcMar>
              <w:top w:w="0" w:type="dxa"/>
              <w:bottom w:w="0" w:type="dxa"/>
            </w:tcMar>
            <w:vAlign w:val="center"/>
          </w:tcPr>
          <w:p w:rsidR="00044533" w:rsidRDefault="005D51D1">
            <w:pPr>
              <w:keepNext/>
              <w:keepLines/>
              <w:spacing w:after="0" w:line="240" w:lineRule="auto"/>
              <w:jc w:val="right"/>
            </w:pPr>
            <w:r>
              <w:rPr>
                <w:sz w:val="18"/>
              </w:rPr>
              <w:t>178.375,46</w:t>
            </w:r>
          </w:p>
        </w:tc>
        <w:tc>
          <w:tcPr>
            <w:tcW w:w="1860" w:type="dxa"/>
            <w:tcMar>
              <w:top w:w="0" w:type="dxa"/>
              <w:bottom w:w="0" w:type="dxa"/>
            </w:tcMar>
            <w:vAlign w:val="center"/>
          </w:tcPr>
          <w:p w:rsidR="00044533" w:rsidRDefault="005D51D1">
            <w:pPr>
              <w:keepNext/>
              <w:keepLines/>
              <w:spacing w:after="0" w:line="240" w:lineRule="auto"/>
              <w:jc w:val="right"/>
            </w:pPr>
            <w:r>
              <w:rPr>
                <w:sz w:val="18"/>
              </w:rPr>
              <w:t>130.869,65</w:t>
            </w:r>
          </w:p>
        </w:tc>
        <w:tc>
          <w:tcPr>
            <w:tcW w:w="700" w:type="dxa"/>
            <w:tcMar>
              <w:top w:w="0" w:type="dxa"/>
              <w:bottom w:w="0" w:type="dxa"/>
            </w:tcMar>
            <w:vAlign w:val="center"/>
          </w:tcPr>
          <w:p w:rsidR="00044533" w:rsidRDefault="005D51D1">
            <w:pPr>
              <w:keepNext/>
              <w:keepLines/>
              <w:spacing w:after="0" w:line="240" w:lineRule="auto"/>
              <w:jc w:val="right"/>
            </w:pPr>
            <w:r>
              <w:rPr>
                <w:sz w:val="18"/>
              </w:rPr>
              <w:t>73,4</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044533">
            <w:pPr>
              <w:keepNext/>
              <w:keepLines/>
              <w:spacing w:after="0" w:line="240" w:lineRule="auto"/>
            </w:pPr>
          </w:p>
        </w:tc>
        <w:tc>
          <w:tcPr>
            <w:tcW w:w="3180" w:type="dxa"/>
            <w:tcMar>
              <w:top w:w="0" w:type="dxa"/>
              <w:bottom w:w="0" w:type="dxa"/>
            </w:tcMar>
            <w:vAlign w:val="center"/>
          </w:tcPr>
          <w:p w:rsidR="00044533" w:rsidRDefault="005D51D1">
            <w:pPr>
              <w:keepNext/>
              <w:keepLines/>
              <w:spacing w:after="0" w:line="240" w:lineRule="auto"/>
            </w:pPr>
            <w:r>
              <w:rPr>
                <w:b/>
                <w:sz w:val="18"/>
              </w:rPr>
              <w:t>MANJAK PRIHODA OD NEFINANCIJSKE IMOVINE (šifre 4-7)</w:t>
            </w:r>
          </w:p>
        </w:tc>
        <w:tc>
          <w:tcPr>
            <w:tcW w:w="700" w:type="dxa"/>
            <w:tcMar>
              <w:top w:w="0" w:type="dxa"/>
              <w:bottom w:w="0" w:type="dxa"/>
            </w:tcMar>
            <w:vAlign w:val="center"/>
          </w:tcPr>
          <w:p w:rsidR="00044533" w:rsidRDefault="005D51D1">
            <w:pPr>
              <w:keepNext/>
              <w:keepLines/>
              <w:spacing w:after="0" w:line="240" w:lineRule="auto"/>
            </w:pPr>
            <w:r>
              <w:rPr>
                <w:b/>
                <w:sz w:val="18"/>
              </w:rPr>
              <w:t>Y002</w:t>
            </w:r>
          </w:p>
        </w:tc>
        <w:tc>
          <w:tcPr>
            <w:tcW w:w="1860" w:type="dxa"/>
            <w:tcMar>
              <w:top w:w="0" w:type="dxa"/>
              <w:bottom w:w="0" w:type="dxa"/>
            </w:tcMar>
            <w:vAlign w:val="center"/>
          </w:tcPr>
          <w:p w:rsidR="00044533" w:rsidRDefault="005D51D1">
            <w:pPr>
              <w:keepNext/>
              <w:keepLines/>
              <w:spacing w:after="0" w:line="240" w:lineRule="auto"/>
              <w:jc w:val="right"/>
            </w:pPr>
            <w:r>
              <w:rPr>
                <w:b/>
                <w:sz w:val="18"/>
              </w:rPr>
              <w:t>178.375,46</w:t>
            </w:r>
          </w:p>
        </w:tc>
        <w:tc>
          <w:tcPr>
            <w:tcW w:w="1860" w:type="dxa"/>
            <w:tcMar>
              <w:top w:w="0" w:type="dxa"/>
              <w:bottom w:w="0" w:type="dxa"/>
            </w:tcMar>
            <w:vAlign w:val="center"/>
          </w:tcPr>
          <w:p w:rsidR="00044533" w:rsidRDefault="005D51D1">
            <w:pPr>
              <w:keepNext/>
              <w:keepLines/>
              <w:spacing w:after="0" w:line="240" w:lineRule="auto"/>
              <w:jc w:val="right"/>
            </w:pPr>
            <w:r>
              <w:rPr>
                <w:b/>
                <w:sz w:val="18"/>
              </w:rPr>
              <w:t>130.869,65</w:t>
            </w:r>
          </w:p>
        </w:tc>
        <w:tc>
          <w:tcPr>
            <w:tcW w:w="700" w:type="dxa"/>
            <w:tcMar>
              <w:top w:w="0" w:type="dxa"/>
              <w:bottom w:w="0" w:type="dxa"/>
            </w:tcMar>
            <w:vAlign w:val="center"/>
          </w:tcPr>
          <w:p w:rsidR="00044533" w:rsidRDefault="005D51D1">
            <w:pPr>
              <w:keepNext/>
              <w:keepLines/>
              <w:spacing w:after="0" w:line="240" w:lineRule="auto"/>
              <w:jc w:val="right"/>
            </w:pPr>
            <w:r>
              <w:rPr>
                <w:b/>
                <w:sz w:val="18"/>
              </w:rPr>
              <w:t>73,4</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8</w:t>
            </w:r>
          </w:p>
        </w:tc>
        <w:tc>
          <w:tcPr>
            <w:tcW w:w="3180" w:type="dxa"/>
            <w:tcMar>
              <w:top w:w="0" w:type="dxa"/>
              <w:bottom w:w="0" w:type="dxa"/>
            </w:tcMar>
            <w:vAlign w:val="center"/>
          </w:tcPr>
          <w:p w:rsidR="00044533" w:rsidRDefault="005D51D1">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rsidR="00044533" w:rsidRDefault="005D51D1">
            <w:pPr>
              <w:keepNext/>
              <w:keepLines/>
              <w:spacing w:after="0" w:line="240" w:lineRule="auto"/>
            </w:pPr>
            <w:r>
              <w:rPr>
                <w:sz w:val="18"/>
              </w:rPr>
              <w:t>8</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700" w:type="dxa"/>
            <w:tcMar>
              <w:top w:w="0" w:type="dxa"/>
              <w:bottom w:w="0" w:type="dxa"/>
            </w:tcMar>
            <w:vAlign w:val="center"/>
          </w:tcPr>
          <w:p w:rsidR="00044533" w:rsidRDefault="005D51D1">
            <w:pPr>
              <w:keepNext/>
              <w:keepLines/>
              <w:spacing w:after="0" w:line="240" w:lineRule="auto"/>
              <w:jc w:val="right"/>
            </w:pPr>
            <w:r>
              <w:rPr>
                <w:sz w:val="18"/>
              </w:rPr>
              <w:t>-</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5D51D1">
            <w:pPr>
              <w:keepNext/>
              <w:keepLines/>
              <w:spacing w:after="0" w:line="240" w:lineRule="auto"/>
            </w:pPr>
            <w:r>
              <w:rPr>
                <w:sz w:val="18"/>
              </w:rPr>
              <w:t>5</w:t>
            </w:r>
          </w:p>
        </w:tc>
        <w:tc>
          <w:tcPr>
            <w:tcW w:w="3180" w:type="dxa"/>
            <w:tcMar>
              <w:top w:w="0" w:type="dxa"/>
              <w:bottom w:w="0" w:type="dxa"/>
            </w:tcMar>
            <w:vAlign w:val="center"/>
          </w:tcPr>
          <w:p w:rsidR="00044533" w:rsidRDefault="005D51D1">
            <w:pPr>
              <w:keepNext/>
              <w:keepLines/>
              <w:spacing w:after="0" w:line="240" w:lineRule="auto"/>
            </w:pPr>
            <w:r>
              <w:rPr>
                <w:sz w:val="18"/>
              </w:rPr>
              <w:t xml:space="preserve">Izdaci za financijsku imovinu i </w:t>
            </w:r>
            <w:r>
              <w:rPr>
                <w:sz w:val="18"/>
              </w:rPr>
              <w:t>otplate zajmova (šifre 51+52+53+54+55)</w:t>
            </w:r>
          </w:p>
        </w:tc>
        <w:tc>
          <w:tcPr>
            <w:tcW w:w="700" w:type="dxa"/>
            <w:tcMar>
              <w:top w:w="0" w:type="dxa"/>
              <w:bottom w:w="0" w:type="dxa"/>
            </w:tcMar>
            <w:vAlign w:val="center"/>
          </w:tcPr>
          <w:p w:rsidR="00044533" w:rsidRDefault="005D51D1">
            <w:pPr>
              <w:keepNext/>
              <w:keepLines/>
              <w:spacing w:after="0" w:line="240" w:lineRule="auto"/>
            </w:pPr>
            <w:r>
              <w:rPr>
                <w:sz w:val="18"/>
              </w:rPr>
              <w:t>5</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700" w:type="dxa"/>
            <w:tcMar>
              <w:top w:w="0" w:type="dxa"/>
              <w:bottom w:w="0" w:type="dxa"/>
            </w:tcMar>
            <w:vAlign w:val="center"/>
          </w:tcPr>
          <w:p w:rsidR="00044533" w:rsidRDefault="005D51D1">
            <w:pPr>
              <w:keepNext/>
              <w:keepLines/>
              <w:spacing w:after="0" w:line="240" w:lineRule="auto"/>
              <w:jc w:val="right"/>
            </w:pPr>
            <w:r>
              <w:rPr>
                <w:sz w:val="18"/>
              </w:rPr>
              <w:t>-</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044533">
            <w:pPr>
              <w:keepNext/>
              <w:keepLines/>
              <w:spacing w:after="0" w:line="240" w:lineRule="auto"/>
            </w:pPr>
          </w:p>
        </w:tc>
        <w:tc>
          <w:tcPr>
            <w:tcW w:w="3180" w:type="dxa"/>
            <w:tcMar>
              <w:top w:w="0" w:type="dxa"/>
              <w:bottom w:w="0" w:type="dxa"/>
            </w:tcMar>
            <w:vAlign w:val="center"/>
          </w:tcPr>
          <w:p w:rsidR="00044533" w:rsidRDefault="005D51D1">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rsidR="00044533" w:rsidRDefault="005D51D1">
            <w:pPr>
              <w:keepNext/>
              <w:keepLines/>
              <w:spacing w:after="0" w:line="240" w:lineRule="auto"/>
            </w:pPr>
            <w:r>
              <w:rPr>
                <w:b/>
                <w:sz w:val="18"/>
              </w:rPr>
              <w:t>X003, Y003</w:t>
            </w:r>
          </w:p>
        </w:tc>
        <w:tc>
          <w:tcPr>
            <w:tcW w:w="1860" w:type="dxa"/>
            <w:tcMar>
              <w:top w:w="0" w:type="dxa"/>
              <w:bottom w:w="0" w:type="dxa"/>
            </w:tcMar>
            <w:vAlign w:val="center"/>
          </w:tcPr>
          <w:p w:rsidR="00044533" w:rsidRDefault="005D51D1">
            <w:pPr>
              <w:keepNext/>
              <w:keepLines/>
              <w:spacing w:after="0" w:line="240" w:lineRule="auto"/>
              <w:jc w:val="right"/>
            </w:pPr>
            <w:r>
              <w:rPr>
                <w:b/>
                <w:sz w:val="18"/>
              </w:rPr>
              <w:t>0,00</w:t>
            </w:r>
          </w:p>
        </w:tc>
        <w:tc>
          <w:tcPr>
            <w:tcW w:w="1860" w:type="dxa"/>
            <w:tcMar>
              <w:top w:w="0" w:type="dxa"/>
              <w:bottom w:w="0" w:type="dxa"/>
            </w:tcMar>
            <w:vAlign w:val="center"/>
          </w:tcPr>
          <w:p w:rsidR="00044533" w:rsidRDefault="005D51D1">
            <w:pPr>
              <w:keepNext/>
              <w:keepLines/>
              <w:spacing w:after="0" w:line="240" w:lineRule="auto"/>
              <w:jc w:val="right"/>
            </w:pPr>
            <w:r>
              <w:rPr>
                <w:b/>
                <w:sz w:val="18"/>
              </w:rPr>
              <w:t>0,00</w:t>
            </w:r>
          </w:p>
        </w:tc>
        <w:tc>
          <w:tcPr>
            <w:tcW w:w="700" w:type="dxa"/>
            <w:tcMar>
              <w:top w:w="0" w:type="dxa"/>
              <w:bottom w:w="0" w:type="dxa"/>
            </w:tcMar>
            <w:vAlign w:val="center"/>
          </w:tcPr>
          <w:p w:rsidR="00044533" w:rsidRDefault="005D51D1">
            <w:pPr>
              <w:keepNext/>
              <w:keepLines/>
              <w:spacing w:after="0" w:line="240" w:lineRule="auto"/>
              <w:jc w:val="right"/>
            </w:pPr>
            <w:r>
              <w:rPr>
                <w:b/>
                <w:sz w:val="18"/>
              </w:rPr>
              <w:t>-</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044533">
            <w:pPr>
              <w:keepNext/>
              <w:keepLines/>
              <w:spacing w:after="0" w:line="240" w:lineRule="auto"/>
            </w:pPr>
          </w:p>
        </w:tc>
        <w:tc>
          <w:tcPr>
            <w:tcW w:w="3180" w:type="dxa"/>
            <w:tcMar>
              <w:top w:w="0" w:type="dxa"/>
              <w:bottom w:w="0" w:type="dxa"/>
            </w:tcMar>
            <w:vAlign w:val="center"/>
          </w:tcPr>
          <w:p w:rsidR="00044533" w:rsidRDefault="005D51D1">
            <w:pPr>
              <w:keepNext/>
              <w:keepLines/>
              <w:spacing w:after="0" w:line="240" w:lineRule="auto"/>
            </w:pPr>
            <w:r>
              <w:rPr>
                <w:b/>
                <w:sz w:val="18"/>
              </w:rPr>
              <w:t>MANJAK PRIHODA I PRIMITAKA (šifre Y345-X678)</w:t>
            </w:r>
          </w:p>
        </w:tc>
        <w:tc>
          <w:tcPr>
            <w:tcW w:w="700" w:type="dxa"/>
            <w:tcMar>
              <w:top w:w="0" w:type="dxa"/>
              <w:bottom w:w="0" w:type="dxa"/>
            </w:tcMar>
            <w:vAlign w:val="center"/>
          </w:tcPr>
          <w:p w:rsidR="00044533" w:rsidRDefault="005D51D1">
            <w:pPr>
              <w:keepNext/>
              <w:keepLines/>
              <w:spacing w:after="0" w:line="240" w:lineRule="auto"/>
            </w:pPr>
            <w:r>
              <w:rPr>
                <w:b/>
                <w:sz w:val="18"/>
              </w:rPr>
              <w:t>Y005</w:t>
            </w:r>
          </w:p>
        </w:tc>
        <w:tc>
          <w:tcPr>
            <w:tcW w:w="1860" w:type="dxa"/>
            <w:tcMar>
              <w:top w:w="0" w:type="dxa"/>
              <w:bottom w:w="0" w:type="dxa"/>
            </w:tcMar>
            <w:vAlign w:val="center"/>
          </w:tcPr>
          <w:p w:rsidR="00044533" w:rsidRDefault="005D51D1">
            <w:pPr>
              <w:keepNext/>
              <w:keepLines/>
              <w:spacing w:after="0" w:line="240" w:lineRule="auto"/>
              <w:jc w:val="right"/>
            </w:pPr>
            <w:r>
              <w:rPr>
                <w:b/>
                <w:sz w:val="18"/>
              </w:rPr>
              <w:t>3.275,23</w:t>
            </w:r>
          </w:p>
        </w:tc>
        <w:tc>
          <w:tcPr>
            <w:tcW w:w="1860" w:type="dxa"/>
            <w:tcMar>
              <w:top w:w="0" w:type="dxa"/>
              <w:bottom w:w="0" w:type="dxa"/>
            </w:tcMar>
            <w:vAlign w:val="center"/>
          </w:tcPr>
          <w:p w:rsidR="00044533" w:rsidRDefault="005D51D1">
            <w:pPr>
              <w:keepNext/>
              <w:keepLines/>
              <w:spacing w:after="0" w:line="240" w:lineRule="auto"/>
              <w:jc w:val="right"/>
            </w:pPr>
            <w:r>
              <w:rPr>
                <w:b/>
                <w:sz w:val="18"/>
              </w:rPr>
              <w:t>168.705,74</w:t>
            </w:r>
          </w:p>
        </w:tc>
        <w:tc>
          <w:tcPr>
            <w:tcW w:w="700" w:type="dxa"/>
            <w:tcMar>
              <w:top w:w="0" w:type="dxa"/>
              <w:bottom w:w="0" w:type="dxa"/>
            </w:tcMar>
            <w:vAlign w:val="center"/>
          </w:tcPr>
          <w:p w:rsidR="00044533" w:rsidRDefault="005D51D1">
            <w:pPr>
              <w:keepNext/>
              <w:keepLines/>
              <w:spacing w:after="0" w:line="240" w:lineRule="auto"/>
              <w:jc w:val="right"/>
            </w:pPr>
            <w:r>
              <w:rPr>
                <w:b/>
                <w:sz w:val="18"/>
              </w:rPr>
              <w:t>5151,0</w:t>
            </w:r>
          </w:p>
        </w:tc>
      </w:tr>
    </w:tbl>
    <w:p w:rsidR="00044533" w:rsidRDefault="00044533">
      <w:pPr>
        <w:spacing w:after="0"/>
      </w:pPr>
    </w:p>
    <w:p w:rsidR="00044533" w:rsidRDefault="005D51D1">
      <w:r>
        <w:t>1. OSNOVNI PODACI O USTANOVI I DJELATNOSTI</w:t>
      </w:r>
    </w:p>
    <w:p w:rsidR="00044533" w:rsidRDefault="005D51D1">
      <w:r>
        <w:t>Dom za starije osobe Sveta Ana Zagreb obavlja svoju djelatnost na adresi Islandska 2, Zagreb.</w:t>
      </w:r>
    </w:p>
    <w:p w:rsidR="00044533" w:rsidRDefault="005D51D1">
      <w:r>
        <w:t xml:space="preserve">Ustanova je izgrađena 1977. godine pod nazivom Dom umirovljenika Braća Gluhak. Od 1992. godine djeluje pod nazivom Dom </w:t>
      </w:r>
      <w:r>
        <w:t>umirovljenika Sveta Ana, Zagreb.</w:t>
      </w:r>
      <w:r>
        <w:br/>
      </w:r>
      <w:r>
        <w:lastRenderedPageBreak/>
        <w:t>Odlukom Vlade Republike Hrvatske od 21. prosinca 2001. godine osnivačka prava i obveze nad Domom prenesena su na Grad Zagreb.</w:t>
      </w:r>
    </w:p>
    <w:p w:rsidR="00044533" w:rsidRDefault="005D51D1">
      <w:r>
        <w:t>1.1. Odjel za osobe oboljele od Alzheimerove bolesti i drugih demencija</w:t>
      </w:r>
    </w:p>
    <w:p w:rsidR="00044533" w:rsidRDefault="005D51D1">
      <w:r>
        <w:t>Dana 5. travnja 2022. god</w:t>
      </w:r>
      <w:r>
        <w:t>ine otvoren je Odjel za osobe oboljele od Alzheimerove bolesti i drugih demencija, smješten na IV. katu zgrade. Odjel se sastoji od dvije cjeline kapaciteta 18 i 20 korisnika, s pripadajućim sadržajima.</w:t>
      </w:r>
      <w:r>
        <w:br/>
        <w:t>Na dan 31. prosinca 2025. na odjelu je bilo smješteno</w:t>
      </w:r>
      <w:r>
        <w:t xml:space="preserve"> 38 korisnika, razvrstanih u IV. stupanj usluge.</w:t>
      </w:r>
    </w:p>
    <w:p w:rsidR="00044533" w:rsidRDefault="005D51D1">
      <w:r>
        <w:t>1.2. Smještaj korisnika</w:t>
      </w:r>
    </w:p>
    <w:p w:rsidR="00044533" w:rsidRDefault="005D51D1">
      <w:r>
        <w:t>Na dan 31. prosinca 2025. u Domu je bilo smješteno ukupno 331 korisnik, i to:</w:t>
      </w:r>
    </w:p>
    <w:p w:rsidR="00044533" w:rsidRDefault="005D51D1">
      <w:r>
        <w:t>•             I. stupanj usluge: 164 korisnika</w:t>
      </w:r>
    </w:p>
    <w:p w:rsidR="00044533" w:rsidRDefault="005D51D1">
      <w:r>
        <w:t>•             II. stupanj usluge: 4 korisnika</w:t>
      </w:r>
    </w:p>
    <w:p w:rsidR="00044533" w:rsidRDefault="005D51D1">
      <w:r>
        <w:t xml:space="preserve">•           </w:t>
      </w:r>
      <w:r>
        <w:t>  III. stupanj usluge (odjel zdravstvene njege): 124 korisnika</w:t>
      </w:r>
    </w:p>
    <w:p w:rsidR="00044533" w:rsidRDefault="005D51D1">
      <w:r>
        <w:t>•             korisnici su smješteni u dvokrevetnim i trokrevetnim sobama</w:t>
      </w:r>
    </w:p>
    <w:p w:rsidR="00044533" w:rsidRDefault="005D51D1">
      <w:r>
        <w:t>•             IV. stupanj usluge: 38 korisnika</w:t>
      </w:r>
    </w:p>
    <w:p w:rsidR="00044533" w:rsidRDefault="005D51D1">
      <w:r>
        <w:t>Na stambenom dijelu smješteno je 164 korisnika u jednokrevetnim i dvokre</w:t>
      </w:r>
      <w:r>
        <w:t>vetnim sobama.</w:t>
      </w:r>
    </w:p>
    <w:p w:rsidR="00044533" w:rsidRDefault="005D51D1">
      <w:r>
        <w:t>1.3. Usluge u okviru stalnog smještaja</w:t>
      </w:r>
    </w:p>
    <w:p w:rsidR="00044533" w:rsidRDefault="005D51D1">
      <w:r>
        <w:t>Dom pruža sljedeće usluge:</w:t>
      </w:r>
    </w:p>
    <w:p w:rsidR="00044533" w:rsidRDefault="005D51D1">
      <w:r>
        <w:t>•             stanovanje i prehranu</w:t>
      </w:r>
    </w:p>
    <w:p w:rsidR="00044533" w:rsidRDefault="005D51D1">
      <w:r>
        <w:t>•             zdravstvenu njegu i brigu o zdravlju</w:t>
      </w:r>
    </w:p>
    <w:p w:rsidR="00044533" w:rsidRDefault="005D51D1">
      <w:r>
        <w:t>•             održavanje osobne higijene i pomoć u svakodnevnim aktivnostima</w:t>
      </w:r>
    </w:p>
    <w:p w:rsidR="00044533" w:rsidRDefault="005D51D1">
      <w:r>
        <w:t>•             socijalni rad i psihosocijalnu rehabilitaciju</w:t>
      </w:r>
    </w:p>
    <w:p w:rsidR="00044533" w:rsidRDefault="005D51D1">
      <w:r>
        <w:t>•             radne aktivnosti i organizaciju slobodnog vremena</w:t>
      </w:r>
    </w:p>
    <w:p w:rsidR="00044533" w:rsidRDefault="005D51D1">
      <w:r>
        <w:t>•             pratnju i organizaciju prijevoza u zdravstvene ustanove i druge institucije</w:t>
      </w:r>
    </w:p>
    <w:p w:rsidR="00044533" w:rsidRDefault="005D51D1">
      <w:r>
        <w:t>•             ostale usluge u skladu s ind</w:t>
      </w:r>
      <w:r>
        <w:t>ividualnim potrebama korisnika</w:t>
      </w:r>
    </w:p>
    <w:p w:rsidR="00044533" w:rsidRDefault="005D51D1">
      <w:r>
        <w:t>1.4. Izvaninstitucionalne usluge</w:t>
      </w:r>
    </w:p>
    <w:p w:rsidR="00044533" w:rsidRDefault="005D51D1">
      <w:r>
        <w:t>Dom pruža i izvaninstitucionalnu skrb za prosječno 359 korisnika, uključujući:</w:t>
      </w:r>
    </w:p>
    <w:p w:rsidR="00044533" w:rsidRDefault="005D51D1">
      <w:r>
        <w:t>•             dnevni boravak – 12 korisnika</w:t>
      </w:r>
    </w:p>
    <w:p w:rsidR="00044533" w:rsidRDefault="005D51D1">
      <w:r>
        <w:t>•             pomoć u kući (pospremanje) – 68 korisnika</w:t>
      </w:r>
    </w:p>
    <w:p w:rsidR="00044533" w:rsidRDefault="005D51D1">
      <w:r>
        <w:t>•            </w:t>
      </w:r>
      <w:r>
        <w:t xml:space="preserve"> pripremu gotovih obroka (ručak) za vanjske korisnike – 279 korisnika</w:t>
      </w:r>
    </w:p>
    <w:p w:rsidR="00044533" w:rsidRDefault="005D51D1">
      <w:r>
        <w:t> </w:t>
      </w:r>
    </w:p>
    <w:p w:rsidR="00044533" w:rsidRDefault="005D51D1">
      <w:r>
        <w:br/>
      </w:r>
    </w:p>
    <w:p w:rsidR="00044533" w:rsidRDefault="005D51D1">
      <w:pPr>
        <w:keepNext/>
        <w:spacing w:line="240" w:lineRule="auto"/>
        <w:jc w:val="center"/>
      </w:pPr>
      <w:r>
        <w:rPr>
          <w:b/>
          <w:sz w:val="28"/>
        </w:rPr>
        <w:lastRenderedPageBreak/>
        <w:t>Izvještaj o obvezama</w:t>
      </w:r>
    </w:p>
    <w:p w:rsidR="00044533" w:rsidRDefault="005D51D1">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044533">
        <w:tblPrEx>
          <w:tblCellMar>
            <w:top w:w="0" w:type="dxa"/>
            <w:bottom w:w="0" w:type="dxa"/>
          </w:tblCellMar>
        </w:tblPrEx>
        <w:trPr>
          <w:cantSplit/>
        </w:trPr>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rsidR="00044533" w:rsidRDefault="005D51D1">
            <w:pPr>
              <w:keepNext/>
              <w:keepLines/>
              <w:spacing w:after="0" w:line="240" w:lineRule="auto"/>
              <w:jc w:val="center"/>
            </w:pPr>
            <w:r>
              <w:rPr>
                <w:b/>
                <w:sz w:val="18"/>
              </w:rPr>
              <w:t>Indeks (%)</w:t>
            </w:r>
          </w:p>
        </w:tc>
      </w:tr>
      <w:tr w:rsidR="00044533">
        <w:tblPrEx>
          <w:tblCellMar>
            <w:top w:w="0" w:type="dxa"/>
            <w:bottom w:w="0" w:type="dxa"/>
          </w:tblCellMar>
        </w:tblPrEx>
        <w:trPr>
          <w:cantSplit/>
          <w:trHeight w:val="560"/>
        </w:trPr>
        <w:tc>
          <w:tcPr>
            <w:tcW w:w="700" w:type="dxa"/>
            <w:tcMar>
              <w:top w:w="0" w:type="dxa"/>
              <w:bottom w:w="0" w:type="dxa"/>
            </w:tcMar>
            <w:vAlign w:val="center"/>
          </w:tcPr>
          <w:p w:rsidR="00044533" w:rsidRDefault="00044533">
            <w:pPr>
              <w:keepNext/>
              <w:keepLines/>
              <w:spacing w:after="0" w:line="240" w:lineRule="auto"/>
            </w:pPr>
          </w:p>
        </w:tc>
        <w:tc>
          <w:tcPr>
            <w:tcW w:w="3180" w:type="dxa"/>
            <w:tcMar>
              <w:top w:w="0" w:type="dxa"/>
              <w:bottom w:w="0" w:type="dxa"/>
            </w:tcMar>
            <w:vAlign w:val="center"/>
          </w:tcPr>
          <w:p w:rsidR="00044533" w:rsidRDefault="005D51D1">
            <w:pPr>
              <w:keepNext/>
              <w:keepLines/>
              <w:spacing w:after="0" w:line="240" w:lineRule="auto"/>
            </w:pPr>
            <w:r>
              <w:rPr>
                <w:sz w:val="18"/>
              </w:rPr>
              <w:t xml:space="preserve">Stanje dospjelih obveza na kraju izvještajnog razdoblja (šifre V008+D23+D24 + 'D dio 25,26' </w:t>
            </w:r>
            <w:r>
              <w:rPr>
                <w:sz w:val="18"/>
              </w:rPr>
              <w:t>+ D27)</w:t>
            </w:r>
          </w:p>
        </w:tc>
        <w:tc>
          <w:tcPr>
            <w:tcW w:w="700" w:type="dxa"/>
            <w:tcMar>
              <w:top w:w="0" w:type="dxa"/>
              <w:bottom w:w="0" w:type="dxa"/>
            </w:tcMar>
            <w:vAlign w:val="center"/>
          </w:tcPr>
          <w:p w:rsidR="00044533" w:rsidRDefault="005D51D1">
            <w:pPr>
              <w:keepNext/>
              <w:keepLines/>
              <w:spacing w:after="0" w:line="240" w:lineRule="auto"/>
            </w:pPr>
            <w:r>
              <w:rPr>
                <w:sz w:val="18"/>
              </w:rPr>
              <w:t>V007</w:t>
            </w:r>
          </w:p>
        </w:tc>
        <w:tc>
          <w:tcPr>
            <w:tcW w:w="1860" w:type="dxa"/>
            <w:tcMar>
              <w:top w:w="0" w:type="dxa"/>
              <w:bottom w:w="0" w:type="dxa"/>
            </w:tcMar>
            <w:vAlign w:val="center"/>
          </w:tcPr>
          <w:p w:rsidR="00044533" w:rsidRDefault="005D51D1">
            <w:pPr>
              <w:keepNext/>
              <w:keepLines/>
              <w:spacing w:after="0" w:line="240" w:lineRule="auto"/>
              <w:jc w:val="right"/>
            </w:pPr>
            <w:r>
              <w:rPr>
                <w:sz w:val="18"/>
              </w:rPr>
              <w:t>0,00</w:t>
            </w:r>
          </w:p>
        </w:tc>
        <w:tc>
          <w:tcPr>
            <w:tcW w:w="700" w:type="dxa"/>
            <w:tcMar>
              <w:top w:w="0" w:type="dxa"/>
              <w:bottom w:w="0" w:type="dxa"/>
            </w:tcMar>
            <w:vAlign w:val="center"/>
          </w:tcPr>
          <w:p w:rsidR="00044533" w:rsidRDefault="005D51D1">
            <w:pPr>
              <w:keepNext/>
              <w:keepLines/>
              <w:spacing w:after="0" w:line="240" w:lineRule="auto"/>
              <w:jc w:val="right"/>
            </w:pPr>
            <w:r>
              <w:rPr>
                <w:sz w:val="18"/>
              </w:rPr>
              <w:t>-</w:t>
            </w:r>
          </w:p>
        </w:tc>
      </w:tr>
    </w:tbl>
    <w:p w:rsidR="00044533" w:rsidRDefault="00044533">
      <w:pPr>
        <w:spacing w:after="0"/>
      </w:pPr>
    </w:p>
    <w:p w:rsidR="00044533" w:rsidRDefault="005D51D1">
      <w:r>
        <w:t>Dom za starije osobe Sveta Ana Zagreb nema dospjelih obveza na dan 31.12.2025. godine</w:t>
      </w:r>
    </w:p>
    <w:p w:rsidR="00044533" w:rsidRDefault="005D51D1">
      <w:r>
        <w:rPr>
          <w:b/>
        </w:rPr>
        <w:t>I.       BILJEŠLE UZ PR-RAS</w:t>
      </w:r>
    </w:p>
    <w:p w:rsidR="00044533" w:rsidRDefault="005D51D1">
      <w:r>
        <w:rPr>
          <w:b/>
        </w:rPr>
        <w:t>1.</w:t>
      </w:r>
      <w:r>
        <w:t xml:space="preserve">     </w:t>
      </w:r>
      <w:r>
        <w:rPr>
          <w:b/>
        </w:rPr>
        <w:t>PRIHODI POSLOVANJA</w:t>
      </w:r>
    </w:p>
    <w:p w:rsidR="00044533" w:rsidRDefault="005D51D1">
      <w:r>
        <w:t>Za razdoblje od 01.01.2025.-31.12.2025. ukupni prihodi poslovanja u iznosu 5.306.893,03 eura, v</w:t>
      </w:r>
      <w:r>
        <w:t>eći su od ostvarenih u 2024. godini za 108.381,98 eura. Povećanje prihoda rezultat je povećanja prihoda iz Proračuna Grada Zagreba. </w:t>
      </w:r>
    </w:p>
    <w:p w:rsidR="00044533" w:rsidRDefault="005D51D1">
      <w:r>
        <w:t>AOP 636 – Tekuće pomoći proračunskim korisnicima iz proračuna koji im nije nadležan  odnose se na financijsku podršku za sm</w:t>
      </w:r>
      <w:r>
        <w:t>anjenje utjecaja porasta cijena energenata na pružatelje socijalnih usluga u RH. U travnju 2025. godini počeli smo koristili navedenu podršku u iznosu 6.480 eura.</w:t>
      </w:r>
    </w:p>
    <w:p w:rsidR="00044533" w:rsidRDefault="005D51D1">
      <w:r>
        <w:t xml:space="preserve">AOP 6526 – Prihodi od upravnih i administrativnih pristojbi, pristojbi po posebnim propisima </w:t>
      </w:r>
      <w:r>
        <w:t>odnose se na cijenu usluga koje naplatimo od korisnika. Kako se te cijene nisu povećale od 2018. godine tako i prihodi po tom osnovu ne mogu značajnije rasti. </w:t>
      </w:r>
    </w:p>
    <w:p w:rsidR="00044533" w:rsidRDefault="005D51D1">
      <w:r>
        <w:t>AOP 661- Prihodi od prodaje proizvoda i roba te pruženih usluga manji su za 7.486,05 eura, odnos</w:t>
      </w:r>
      <w:r>
        <w:t>no za 22,6 % u odnosu na 2024. godinu, pad prihoda od toplog obroka (manji broj zaposlenih koji koristi uslugu toplog obroka), pružanja ugostiteljskih usluga korisnicima obavlja se od 10 - 14 sati. Posao obavlja pomoćna radnica u kuhinji koja je zadužena z</w:t>
      </w:r>
      <w:r>
        <w:t>a pripremu i punjenje posuda sa obrocima za van.</w:t>
      </w:r>
    </w:p>
    <w:p w:rsidR="00044533" w:rsidRDefault="005D51D1">
      <w:r>
        <w:t>AOP 663- Na kapitalnim donacijama knjižen je medicinski krevet sa madracem i rukohvatom, medicinski krevet sa madracem i garderobni ormar za korisnike stacionara.</w:t>
      </w:r>
    </w:p>
    <w:p w:rsidR="00044533" w:rsidRDefault="005D51D1">
      <w:r>
        <w:t>AOP 671 - Prihodi iz nadležnog proračuna za financiranje redovne djelatnosti su prihodi uplaćeni iz Proračuna Grada Zagreba sukladno  Financijskom planu za 2025. godinu, planirani prihodi rasli u odnosu na 2024. godinu, realizirani prihodi su veći u odnosu</w:t>
      </w:r>
      <w:r>
        <w:t xml:space="preserve"> na isto razdoblje 2024. godine (u iznosu 85.888,68 eura). Dana12.05.2025. godine Grad Zagreb je uplatio 5.156,29 eura na ime donacije za radove za opće dobro bez naknade, aktivnost A011221A122106, izvor financiranja 11.</w:t>
      </w:r>
    </w:p>
    <w:p w:rsidR="00044533" w:rsidRDefault="005D51D1">
      <w:r>
        <w:t>Naime, na raspisani natječaj od str</w:t>
      </w:r>
      <w:r>
        <w:t>ane Grada, Dom (ustanova) se prijavio za sredstva kojima bi se pokrili rashodi za potrebe organizacije rada za opće dobro bez naknade, u vidu alata, strojeva zaštitne obuće i odjeće i dr. Ugovor traje 24 mjeseca</w:t>
      </w:r>
    </w:p>
    <w:p w:rsidR="00044533" w:rsidRDefault="005D51D1">
      <w:r>
        <w:rPr>
          <w:b/>
        </w:rPr>
        <w:t>2. RASHODI POSLOVANJA</w:t>
      </w:r>
    </w:p>
    <w:p w:rsidR="00044533" w:rsidRDefault="005D51D1">
      <w:r>
        <w:t>AOP 3 – Rashodi poslov</w:t>
      </w:r>
      <w:r>
        <w:t>anja</w:t>
      </w:r>
    </w:p>
    <w:p w:rsidR="00044533" w:rsidRDefault="005D51D1">
      <w:r>
        <w:lastRenderedPageBreak/>
        <w:t>Za razdoblje od 01.01.2025.-31.12.2025. ukupni rashodi poslovanja iznose 5.344.729,12 eura, i veći su od ostvarenih u istom razdoblju 2024. godine za 321.318,30 eura (6,4 %).</w:t>
      </w:r>
    </w:p>
    <w:p w:rsidR="00044533" w:rsidRDefault="005D51D1">
      <w:r>
        <w:t>AOP 31-  Rashodi za zaposlene</w:t>
      </w:r>
    </w:p>
    <w:p w:rsidR="00044533" w:rsidRDefault="005D51D1">
      <w:r>
        <w:t>Rashoda za zaposlene povećani su za 269.884,45</w:t>
      </w:r>
      <w:r>
        <w:t xml:space="preserve"> eura ili za 7,5 %.</w:t>
      </w:r>
    </w:p>
    <w:p w:rsidR="00044533" w:rsidRDefault="005D51D1">
      <w:r>
        <w:t>Primjena Uredba o nazivima radnih mjesta, uvjetima za raspored i koeficijentima za  obračun plaće u javnim službama (NN 22/2024) koja je stupila na snagu od 1. ožujak 2024. godine, isplata u travnju, nije imala utjecaj na visinu rashoda</w:t>
      </w:r>
      <w:r>
        <w:t xml:space="preserve"> za zaposlene u razdoblju siječanj-ožujak prethodne godine.</w:t>
      </w:r>
      <w:r>
        <w:br/>
        <w:t>Grad Zagreb od 01.03.2024. godine, putem Pravilnika o radu uvodi naknadu za prehranu za sve djelatnike, kao neoporezivi rashod, 66,36 eura mjesečno po zaposlenom. Sredstva su planirana iz izvora 1</w:t>
      </w:r>
      <w:r>
        <w:t>13 na poziciji plana 3121, isplata je počela od 01.05.2024. godine. Kako je navedena naknada planirana i u 2025. godini u mjesečnom iznosu 100 eura po zaposlenom ostali rashodi za zaposlene dodatno su uvećani u tekućem razdoblju (208.468,79 eura).</w:t>
      </w:r>
    </w:p>
    <w:p w:rsidR="00044533" w:rsidRDefault="005D51D1">
      <w:r>
        <w:t>Osnovica</w:t>
      </w:r>
      <w:r>
        <w:t xml:space="preserve"> za obračun plaća je rasla dva puta u 2025. godini, od 1. veljače 2025. godine, sa 947,18 eura na 975,60 eura ili 3,0%, i od 01.09.2025. na 1.004,87 eura naredna 3%.</w:t>
      </w:r>
    </w:p>
    <w:p w:rsidR="00044533" w:rsidRDefault="005D51D1">
      <w:r>
        <w:t>Pravilniku o radu domova predviđena je mogućnost isplate nagrade za radne rezultate zaposl</w:t>
      </w:r>
      <w:r>
        <w:t>enicima do neoporezivog iznosa. Ova nagrada nije samo financijska stimulacija, već i izraz zahvalnosti za predan rad i trud koji naši zaposlenici svakodnevno ulažu u skrb o korisnicima. Gradski ured za socijalnu zaštitu, zdravstvo, branitelje i osobe s inv</w:t>
      </w:r>
      <w:r>
        <w:t>aliditetom, uvažavajući doprinos zaposlenih odlučili su pokazati nagradom u iznosu do 200 eura. Tako će se nagrada isplatiti svakom radniku, koji je sada zaposlen u domu, razmjerno broju mjeseci koje je proveo na radu u tromjesečnom razdoblju koje se odnos</w:t>
      </w:r>
      <w:r>
        <w:t>i na listopad, studeni i prosinac s tim da je ukupni iznos nagrade 200 eura ukoliko je zaposlenik radio sva tri mjeseca. Nagrada je isplaćena 30.12.2025. godine u iznosu 28.733,38 eura.</w:t>
      </w:r>
    </w:p>
    <w:p w:rsidR="00044533" w:rsidRDefault="005D51D1">
      <w:r>
        <w:t>Za darove za djecu, povodom blagdana Sv. Nikole isplaćeno je 6.700 eur</w:t>
      </w:r>
      <w:r>
        <w:t>a (100 eura po djetetu), a za božićnicu 36.169,48 eura (300 eura po zaposlenom neto).</w:t>
      </w:r>
    </w:p>
    <w:p w:rsidR="00044533" w:rsidRDefault="005D51D1">
      <w:r>
        <w:t>Isplaćene su dvije otpremnine za odlazak u starosnu mirovinu, 5.881,85 eura (M.P. i M.L.), neto 2,5 osnovice za izračun plaće.</w:t>
      </w:r>
    </w:p>
    <w:p w:rsidR="00044533" w:rsidRDefault="005D51D1">
      <w:r>
        <w:t>Isplaćena je i jedna potpora za novorođeno dijete, neto 220,72 eura (</w:t>
      </w:r>
      <w:r w:rsidR="00A6142D">
        <w:t>M.</w:t>
      </w:r>
      <w:r>
        <w:t>B</w:t>
      </w:r>
      <w:r w:rsidR="00A6142D">
        <w:t>.</w:t>
      </w:r>
      <w:r>
        <w:t>)</w:t>
      </w:r>
    </w:p>
    <w:p w:rsidR="00044533" w:rsidRDefault="005D51D1">
      <w:r>
        <w:t>AOP 32 - Materijalni rashodi veći su u odnosu na proteklu godinu za 49.889,45 eura ili 3,6 %.</w:t>
      </w:r>
    </w:p>
    <w:p w:rsidR="00044533" w:rsidRDefault="005D51D1">
      <w:r>
        <w:t>AOP 3213 Seminari i tečajevi veći su u 2025. godini iz razloga osposobljavanja  za pro</w:t>
      </w:r>
      <w:r>
        <w:t>cjenu rizika  kućne vodoopskrbne mreže (450 eura) pri Zavodu za javno zdravstvo, specijalistički program izobrazbe u području javne nabave (480 eura),  stručno osposobljavanje za rukovatelja motornom kosilicom kod Učilišta za obrazovanje odraslih DIDACTICU</w:t>
      </w:r>
      <w:r>
        <w:t>S.</w:t>
      </w:r>
    </w:p>
    <w:p w:rsidR="00044533" w:rsidRDefault="005D51D1">
      <w:r>
        <w:t>Tijekom svibnja 2025. provedena je edukacija zaposlenika na odjelu ALZH - MONTESSORI </w:t>
      </w:r>
    </w:p>
    <w:p w:rsidR="00044533" w:rsidRDefault="005D51D1">
      <w:r>
        <w:t xml:space="preserve">Seminar od strane Dom </w:t>
      </w:r>
      <w:proofErr w:type="spellStart"/>
      <w:r>
        <w:t>sv.Jožef</w:t>
      </w:r>
      <w:proofErr w:type="spellEnd"/>
      <w:r>
        <w:t>, duhovno-</w:t>
      </w:r>
      <w:proofErr w:type="spellStart"/>
      <w:r>
        <w:t>pro</w:t>
      </w:r>
      <w:r w:rsidR="00A6142D">
        <w:t>svetni</w:t>
      </w:r>
      <w:proofErr w:type="spellEnd"/>
      <w:r w:rsidR="00A6142D">
        <w:t xml:space="preserve"> centar, Celje, Slovenija</w:t>
      </w:r>
      <w:r>
        <w:t>. III. KOKOSS stručno – znanstvenu konferenciju koja okuplja stručnjake iz po</w:t>
      </w:r>
      <w:r>
        <w:t xml:space="preserve">dručja edukacijske rehabilitacije, psihologije, psihoterapije, socijalne pedagogije i socijalnog rada održana u Dubrovniku (3x190 eura), </w:t>
      </w:r>
      <w:proofErr w:type="spellStart"/>
      <w:r>
        <w:t>Enelovi</w:t>
      </w:r>
      <w:proofErr w:type="spellEnd"/>
      <w:r>
        <w:t xml:space="preserve"> jesenje savjetovanje održano je u Vodicama (168 eura), a usavršavanje iz područja javne nabave za dvije djelatn</w:t>
      </w:r>
      <w:r>
        <w:t>ice u Opatiji (418 eura).</w:t>
      </w:r>
    </w:p>
    <w:p w:rsidR="00044533" w:rsidRDefault="005D51D1">
      <w:r>
        <w:lastRenderedPageBreak/>
        <w:t xml:space="preserve">AOP 3214 ostale naknade troškova zaposlenima evidentirani su troškovi prijevoza </w:t>
      </w:r>
      <w:proofErr w:type="spellStart"/>
      <w:r>
        <w:t>gerontodomaćica</w:t>
      </w:r>
      <w:proofErr w:type="spellEnd"/>
      <w:r>
        <w:t>, koje idu u stanove korisnika (na teren) obavljati poslove, a koriste osobni automobil u službene svrhe.</w:t>
      </w:r>
    </w:p>
    <w:p w:rsidR="00044533" w:rsidRDefault="005D51D1">
      <w:r>
        <w:t>AOP 3223 Energija, rashodi za</w:t>
      </w:r>
      <w:r>
        <w:t xml:space="preserve"> toplinsku energiju (grijanje) bilježe značajan rast u iznosu 28.636,54 eura (12%).</w:t>
      </w:r>
      <w:r>
        <w:br/>
        <w:t xml:space="preserve">AOP 3224 Materijal za tekuće i investicijsko održavanje, održavanje zgrade, zamjena rasvjetnih tijela, bojanje vanjskih klupa, bojanjem hodnika doma u prizemlju – stambeni </w:t>
      </w:r>
      <w:r>
        <w:t>dio, kontinuiranim uređenjem soba korisnika (ličenje, bojanje namještaja …) .</w:t>
      </w:r>
    </w:p>
    <w:p w:rsidR="00044533" w:rsidRDefault="005D51D1">
      <w:r>
        <w:t>AOP 3227 Službena radna i zaštitne odjeća, u navedenom razdoblju nabavljen je veći dio zaštitne odjeće, na temelju zahtjeva voditelja odjela.  </w:t>
      </w:r>
    </w:p>
    <w:p w:rsidR="00044533" w:rsidRDefault="005D51D1">
      <w:r>
        <w:t>AOP 3232 Usluge tekućeg i investicijskog održavanja, na ovom računu knjižena je izrada projektne dokumentacije za ugradnju klimatizacijskog sustava u sobe korisnika (16.487,50 eura); izrada projektne dok</w:t>
      </w:r>
      <w:r>
        <w:t xml:space="preserve">umentacije -formiranje </w:t>
      </w:r>
      <w:proofErr w:type="spellStart"/>
      <w:r>
        <w:t>predprostora</w:t>
      </w:r>
      <w:proofErr w:type="spellEnd"/>
      <w:r>
        <w:t xml:space="preserve"> ispred dizala na IV katu odjel ALZH (1.500 eura); izrada projektne dokumentacije -adaptacija kupaonica i instalacijskih vertikala (625 eura); izrada projektne dokumentacije - formiranje i uređenje sanitarnog čvora za spr</w:t>
      </w:r>
      <w:r>
        <w:t>emačice na 1. katu; formiranje i uređenje sobe s kupaonicom na poziciji čajne kuhinje u prostoru proširenja hodnika na 2. i 3. katu; formiranje i uređenje čajne kuhinje na 2. i 3. katu; uređenje terase na 4. katu (3.300 eura). Za održavanje i unapređenje s</w:t>
      </w:r>
      <w:r>
        <w:t xml:space="preserve">ustava vatrodojave u 2025. godini utrošeno je 7.915,41 euro, za sanaciju i modernizaciju električnih instalacija u </w:t>
      </w:r>
      <w:proofErr w:type="spellStart"/>
      <w:r>
        <w:t>praoni</w:t>
      </w:r>
      <w:proofErr w:type="spellEnd"/>
      <w:r>
        <w:t xml:space="preserve"> rublja, stambeni IV. Kat hodnik (za klimu), u kuhinji postavljanje </w:t>
      </w:r>
      <w:proofErr w:type="spellStart"/>
      <w:r>
        <w:t>vodotjesnih</w:t>
      </w:r>
      <w:proofErr w:type="spellEnd"/>
      <w:r>
        <w:t xml:space="preserve"> (otporne na vlagu) lampi, uređenje elektroinstalacija i</w:t>
      </w:r>
      <w:r>
        <w:t xml:space="preserve"> zamjena rasvjetnih tijela u sobama, kupaonama, iznad kreveta utrošeno je 5.971,14 </w:t>
      </w:r>
      <w:proofErr w:type="spellStart"/>
      <w:r>
        <w:t>eura,u</w:t>
      </w:r>
      <w:proofErr w:type="spellEnd"/>
      <w:r>
        <w:t xml:space="preserve"> računovodstvu postavljena su klizna vrata između blagajne i računovodstva </w:t>
      </w:r>
      <w:r w:rsidR="00A6142D">
        <w:t>(</w:t>
      </w:r>
      <w:r>
        <w:t>1.687,50 eura</w:t>
      </w:r>
      <w:r w:rsidR="00A6142D">
        <w:t>)</w:t>
      </w:r>
      <w:r>
        <w:t xml:space="preserve"> .</w:t>
      </w:r>
    </w:p>
    <w:p w:rsidR="00044533" w:rsidRDefault="005D51D1">
      <w:r>
        <w:t xml:space="preserve">AOP 3236,Zdravstvene i veterinarske usluge, u </w:t>
      </w:r>
      <w:r>
        <w:t>ovom razdoblju upućeni su zaposlenici na liječničke preglede temeljem Kolektivnog ugovora javne službe, članak 84. Upućeno je 47 zaposlenih na sistematski pregled (7.520 eura)</w:t>
      </w:r>
    </w:p>
    <w:p w:rsidR="00044533" w:rsidRDefault="005D51D1">
      <w:r>
        <w:t xml:space="preserve">AOP 3237 – Rashodi za intelektualne usluge imaju rast 19,5% ( eura), povećan je </w:t>
      </w:r>
      <w:r>
        <w:t>broj obveznih ispitivanja po propisima zaštite na radu, ispitivanje radnog okoliša – obveza jednom u tri godine; ispitivanje sustava vatrodojave i protupožarnih vrata (najmanje jednom godišnje: ispitivanje stabilnog sustava za dojavu požara, stabilnog sust</w:t>
      </w:r>
      <w:r>
        <w:t xml:space="preserve">ava za odvođenje dima i topline u slučaju požara, protupožarnih vrata i funkcionalnosti sustava protupožarnih </w:t>
      </w:r>
      <w:proofErr w:type="spellStart"/>
      <w:r>
        <w:t>zaklopki</w:t>
      </w:r>
      <w:proofErr w:type="spellEnd"/>
      <w:r>
        <w:t xml:space="preserve"> na lokaciji); ispitivanje učinkovitosti ventilacije (najmanje jednom godišnje),redovan godišnji pregled dizala (</w:t>
      </w:r>
      <w:proofErr w:type="spellStart"/>
      <w:r>
        <w:t>Zagrebinspakt</w:t>
      </w:r>
      <w:proofErr w:type="spellEnd"/>
      <w:r>
        <w:t xml:space="preserve"> UR-1398, 35</w:t>
      </w:r>
      <w:r>
        <w:t>0 eura), pregled i ispitivanje nepropusnosti plinskih instalacija u kuhinji, (</w:t>
      </w:r>
      <w:proofErr w:type="spellStart"/>
      <w:r>
        <w:t>Metroalfa</w:t>
      </w:r>
      <w:proofErr w:type="spellEnd"/>
      <w:r>
        <w:t xml:space="preserve"> UR-2587, 331,25 eura), pregled i ispitivanje hidrantske mreže i sigurnosne </w:t>
      </w:r>
      <w:proofErr w:type="spellStart"/>
      <w:r>
        <w:t>protupanik</w:t>
      </w:r>
      <w:proofErr w:type="spellEnd"/>
      <w:r>
        <w:t xml:space="preserve"> rasvjete UR-2929 </w:t>
      </w:r>
      <w:proofErr w:type="spellStart"/>
      <w:r>
        <w:t>Metroalfa</w:t>
      </w:r>
      <w:proofErr w:type="spellEnd"/>
      <w:r>
        <w:t xml:space="preserve"> 1.162,50 eura). </w:t>
      </w:r>
    </w:p>
    <w:p w:rsidR="00044533" w:rsidRDefault="005D51D1">
      <w:r>
        <w:t>Urađena je procjena rizika kućne vodoo</w:t>
      </w:r>
      <w:r>
        <w:t xml:space="preserve">pskrbne mreže prioritetnog objekta ,DLS Projektiranje i zaštita okoliša, Rijeka, UR-1209 i 1906 </w:t>
      </w:r>
      <w:r w:rsidR="00A6142D">
        <w:t>(3</w:t>
      </w:r>
      <w:r>
        <w:t>.300,00 eura</w:t>
      </w:r>
      <w:r w:rsidR="00A6142D">
        <w:t>)</w:t>
      </w:r>
      <w:r>
        <w:t>; Pregled i tehnička kontrola skloništa;</w:t>
      </w:r>
    </w:p>
    <w:p w:rsidR="00044533" w:rsidRDefault="005D51D1">
      <w:r>
        <w:t>AOP 3238 Računalne usluge, nabava aplikacije „Urudž</w:t>
      </w:r>
      <w:r w:rsidR="00A6142D">
        <w:t>beni zapisnik“ ENEL Split d.o.o</w:t>
      </w:r>
      <w:r>
        <w:t>; modul ev</w:t>
      </w:r>
      <w:r>
        <w:t xml:space="preserve">idencija posjetitelja </w:t>
      </w:r>
      <w:proofErr w:type="spellStart"/>
      <w:r>
        <w:t>E-sustavi</w:t>
      </w:r>
      <w:proofErr w:type="spellEnd"/>
      <w:r>
        <w:t xml:space="preserve"> d.o.o. </w:t>
      </w:r>
    </w:p>
    <w:p w:rsidR="00044533" w:rsidRDefault="005D51D1">
      <w:r>
        <w:lastRenderedPageBreak/>
        <w:t>AOP 3291 Naknade članovima upravnog vijeća bilježe rast. Temeljem zaključka gradonačelnika o naknadi predsjednicima i članovima tijela upravljanja ustanova kojih je osnivač Grad Zagreb, od 1.10.2025. godine v</w:t>
      </w:r>
      <w:r>
        <w:t>isina naknade iznosi 90,00 eura neto po sjednici.</w:t>
      </w:r>
    </w:p>
    <w:p w:rsidR="00044533" w:rsidRDefault="005D51D1">
      <w:r>
        <w:t>AOP 3295 Pristojbe i naknade, kako je 2025. godini počelo zapošljavanje stranih radnika, za koje smo trebali pribaviti određenu dokumentaciju, upravne i administrativne pristojbe, kao i javnobilježničke pri</w:t>
      </w:r>
      <w:r>
        <w:t>stojbe postale su dio naših rashoda.</w:t>
      </w:r>
    </w:p>
    <w:p w:rsidR="00044533" w:rsidRDefault="005D51D1">
      <w:r>
        <w:t>AOP 3431 Usluge banaka su imale značajan rast tijekom 2025. godine.</w:t>
      </w:r>
    </w:p>
    <w:p w:rsidR="00044533" w:rsidRDefault="005D51D1">
      <w:r>
        <w:t xml:space="preserve">AOP 4221 – Uredska oprema i namještaj, nabavljeno je računalo </w:t>
      </w:r>
      <w:r w:rsidR="00A6142D">
        <w:t xml:space="preserve">za socijalnu radnicu u GC, </w:t>
      </w:r>
      <w:r>
        <w:t>laptop</w:t>
      </w:r>
      <w:r>
        <w:t xml:space="preserve"> za potrebe računovodstva</w:t>
      </w:r>
      <w:r>
        <w:t>, računalo za materijalnog i financijskog knjigovođu, računalo sa printerom za ekonoma, police za knjige u knjižnici Dom</w:t>
      </w:r>
      <w:r>
        <w:t>a. Za zaposlene na stacionaru nabavljeni su garderobni ormari, za portu radni stolac.</w:t>
      </w:r>
    </w:p>
    <w:p w:rsidR="00044533" w:rsidRDefault="005D51D1">
      <w:r>
        <w:t>Za potrebe arhive nabavljeni su vatrootporni ormari.</w:t>
      </w:r>
    </w:p>
    <w:p w:rsidR="00044533" w:rsidRDefault="005D51D1">
      <w:r>
        <w:t xml:space="preserve">AOP 4224 – Medicinska oprema, iz donacije je dobiven medicinski krevet sa rukohvatom. </w:t>
      </w:r>
      <w:proofErr w:type="spellStart"/>
      <w:r>
        <w:t>Drvotrend</w:t>
      </w:r>
      <w:proofErr w:type="spellEnd"/>
      <w:r>
        <w:t xml:space="preserve"> d.o.o. je donirao drv</w:t>
      </w:r>
      <w:r>
        <w:t xml:space="preserve">eni garderobni ormar 50x245x50 za korisnike stacionara INV.BR. 5282. Kupljeni su medicinski kreveti električni bez madraca od KVANTUMTIM-a (5 kom), od </w:t>
      </w:r>
      <w:proofErr w:type="spellStart"/>
      <w:r>
        <w:t>Fokusmedical</w:t>
      </w:r>
      <w:proofErr w:type="spellEnd"/>
      <w:r>
        <w:t xml:space="preserve"> 10 kreveta električnih sa 3 elektromotora, bočne stranice i trapez bez madraca; od </w:t>
      </w:r>
      <w:proofErr w:type="spellStart"/>
      <w:r>
        <w:t>Kvantumti</w:t>
      </w:r>
      <w:r>
        <w:t>ma</w:t>
      </w:r>
      <w:proofErr w:type="spellEnd"/>
      <w:r>
        <w:t xml:space="preserve"> 9 kreveta električnih sa </w:t>
      </w:r>
      <w:proofErr w:type="spellStart"/>
      <w:r>
        <w:t>al.ogradama</w:t>
      </w:r>
      <w:proofErr w:type="spellEnd"/>
      <w:r>
        <w:t xml:space="preserve"> i 9 madraca (krevet i madrac gratis), </w:t>
      </w:r>
      <w:proofErr w:type="spellStart"/>
      <w:r>
        <w:t>Kvantumtim</w:t>
      </w:r>
      <w:proofErr w:type="spellEnd"/>
      <w:r>
        <w:t xml:space="preserve"> je donirao jedan medicinski krevet i jedan madrac (INV.BR. 5307).</w:t>
      </w:r>
    </w:p>
    <w:p w:rsidR="00044533" w:rsidRDefault="005D51D1">
      <w:r>
        <w:t xml:space="preserve">AOP 4227 – Ostala oprema, nabavljena su kolica za veš u </w:t>
      </w:r>
      <w:proofErr w:type="spellStart"/>
      <w:r>
        <w:t>praoni</w:t>
      </w:r>
      <w:proofErr w:type="spellEnd"/>
      <w:r>
        <w:t xml:space="preserve"> rublja (3 kom), stroj za obilježavanje</w:t>
      </w:r>
      <w:r>
        <w:t xml:space="preserve"> rublja korisnika sa pripadajućim printerom, tastaturom, naljepnicama …, nagibna mehanička barijera 3,5m s utegom.</w:t>
      </w:r>
    </w:p>
    <w:p w:rsidR="00044533" w:rsidRDefault="005D51D1">
      <w:r>
        <w:t xml:space="preserve">U srpnju je nabavljen i montiran industrijski stroj za sušenje rublja, kapaciteta 25 kg </w:t>
      </w:r>
      <w:bookmarkStart w:id="0" w:name="_GoBack"/>
      <w:bookmarkEnd w:id="0"/>
      <w:r>
        <w:t>. </w:t>
      </w:r>
    </w:p>
    <w:p w:rsidR="00044533" w:rsidRDefault="005D51D1">
      <w:r>
        <w:t>U prosincu je nabavljen stroj za pran</w:t>
      </w:r>
      <w:r>
        <w:t>je rublja kapaciteta 9 kg </w:t>
      </w:r>
    </w:p>
    <w:p w:rsidR="00044533" w:rsidRDefault="005D51D1">
      <w:r>
        <w:t xml:space="preserve">Za centralnu kuhinju nabavljen je stroj za usitnjavanje hrane (kašaste dijete) – </w:t>
      </w:r>
      <w:proofErr w:type="spellStart"/>
      <w:r>
        <w:t>blender</w:t>
      </w:r>
      <w:proofErr w:type="spellEnd"/>
      <w:r>
        <w:t> </w:t>
      </w:r>
    </w:p>
    <w:p w:rsidR="00044533" w:rsidRDefault="005D51D1">
      <w:r>
        <w:t>Na novouređenom II. katu stacionara zamijenjeni su garderobni ormari korisnika </w:t>
      </w:r>
    </w:p>
    <w:p w:rsidR="00044533" w:rsidRDefault="005D51D1">
      <w:r>
        <w:t>U prosincu nabavljeni su noćni ormarići sa pločom za hranje</w:t>
      </w:r>
      <w:r>
        <w:t>nje (Bukva) komada 10  </w:t>
      </w:r>
    </w:p>
    <w:p w:rsidR="00044533" w:rsidRDefault="005D51D1">
      <w:r>
        <w:t>Za odjel AD nabavljena je perilica za suđe, za pranje čaša i šalica, i kolica za dovoz hrane iz centralne kuhinje .</w:t>
      </w:r>
    </w:p>
    <w:p w:rsidR="00044533" w:rsidRDefault="005D51D1">
      <w:r>
        <w:t xml:space="preserve">Za potrebe doma nabavljen je razglas za </w:t>
      </w:r>
      <w:proofErr w:type="spellStart"/>
      <w:r>
        <w:t>holl</w:t>
      </w:r>
      <w:proofErr w:type="spellEnd"/>
      <w:r>
        <w:t xml:space="preserve"> i restoran koji nije mogao biti montiran u 2025. godini, te se vodi kao</w:t>
      </w:r>
      <w:r>
        <w:t xml:space="preserve"> osnovno sredstvo u pripremi.</w:t>
      </w:r>
    </w:p>
    <w:p w:rsidR="00044533" w:rsidRDefault="005D51D1">
      <w:r>
        <w:t>Za potrebe radne terapije (okupacija) plaćen je predujam za peć za keramiku, kapaciteta 75 lit.</w:t>
      </w:r>
    </w:p>
    <w:p w:rsidR="00044533" w:rsidRDefault="005D51D1">
      <w:r>
        <w:rPr>
          <w:b/>
        </w:rPr>
        <w:t>II.</w:t>
      </w:r>
      <w:r>
        <w:t xml:space="preserve">     </w:t>
      </w:r>
      <w:r>
        <w:rPr>
          <w:b/>
        </w:rPr>
        <w:t>BILJEŠKE UZ BILANCU </w:t>
      </w:r>
    </w:p>
    <w:p w:rsidR="00044533" w:rsidRDefault="005D51D1">
      <w:r>
        <w:t>1. Nefinancijska imovina </w:t>
      </w:r>
    </w:p>
    <w:p w:rsidR="00044533" w:rsidRDefault="005D51D1">
      <w:r>
        <w:t>AOP 002 – Vrijednost nefinancijske imovine veća je u odnosu na prethodnu go</w:t>
      </w:r>
      <w:r>
        <w:t xml:space="preserve">dinu, nabavljeno je 130.869,65 eura nefinancijske dugotrajne imovine i 48.955,79 eura sitnog inventara , a rashodovano dotrajale, neupotrebljive nefinancijske imovine u vrijednosti </w:t>
      </w:r>
      <w:r>
        <w:lastRenderedPageBreak/>
        <w:t xml:space="preserve">40.880,82 eura i 28.794,44 sitnog inventara, godišnji ispravak vrijednosti </w:t>
      </w:r>
      <w:r>
        <w:t>dugotrajne imovine iznosio je 76.179,28 eura, obrazac P-VRIO AOP P003</w:t>
      </w:r>
    </w:p>
    <w:p w:rsidR="00044533" w:rsidRDefault="005D51D1">
      <w:r>
        <w:t>Sadašnja vrijednost nefinancijske imovine na dan 31.12.2024. iznosi 433.587,52 eura. </w:t>
      </w:r>
    </w:p>
    <w:p w:rsidR="00044533" w:rsidRDefault="005D51D1">
      <w:r>
        <w:t>Temeljem Ugovora o korištenju poslovnog prostora KLASA: 372-03/22-003/551, URBROJ: 251-11-32-2/001-2</w:t>
      </w:r>
      <w:r>
        <w:t>2-2 Grad Zagreb kao vlasnik daje, a Dom prima na korištenje poslovni prostor ukupne površine 7.500 m2, bez naknade.</w:t>
      </w:r>
    </w:p>
    <w:p w:rsidR="00044533" w:rsidRDefault="005D51D1">
      <w:r>
        <w:t xml:space="preserve">Kako zgrada nije u vlasništvu Doma, nego je imovina Grada Zagreba, usklađene su knjigovodstvene evidencije na dan 31.12.2023. i istu vodimo </w:t>
      </w:r>
      <w:r>
        <w:t>vanbilančno (12.981.967,79), kao tuđu imovinu dobivenu na korištenje.</w:t>
      </w:r>
    </w:p>
    <w:p w:rsidR="00044533" w:rsidRDefault="005D51D1">
      <w:r>
        <w:t>U Domu je tijekom 2025. godine nabavljena nefinancijska imovina navedena pod stavkama AOP 4221, 4224 i 4227 obrasca PR-RAS.</w:t>
      </w:r>
    </w:p>
    <w:p w:rsidR="00044533" w:rsidRDefault="005D51D1">
      <w:r>
        <w:t>Bilješke uz AOP 1- Financijska imovina </w:t>
      </w:r>
    </w:p>
    <w:p w:rsidR="00044533" w:rsidRDefault="005D51D1">
      <w:r>
        <w:t>Novac u banci(341.837,</w:t>
      </w:r>
      <w:r>
        <w:t>36) i blagajni(0,00) na dan 31. 12. 2025. godine iznosi 341.837,36 eura.  </w:t>
      </w:r>
    </w:p>
    <w:p w:rsidR="00044533" w:rsidRDefault="005D51D1">
      <w:r>
        <w:t>AOP 12- Potraživanja za naknade koje se refundiraju odnosi se na potraživanje od HZZO za isplaćeno bolovanje preko 42 dana (67.894,30), potraživanje od Ministarstva za isplaćeni dod</w:t>
      </w:r>
      <w:r>
        <w:t>atak za osobne potrebe korisnicima koji su smješteni temeljem rješenje HZSR (749,28)</w:t>
      </w:r>
    </w:p>
    <w:p w:rsidR="00044533" w:rsidRDefault="005D51D1">
      <w:r>
        <w:t>i plaćene predujmove za kotizaciju i smještaj na IV. KOKOSS stručno – znanstvenu     konferenciju koja okuplja stručnjake iz područja edukacijske rehabilitacije, psihologi</w:t>
      </w:r>
      <w:r>
        <w:t xml:space="preserve">je, psihoterapije, socijalne pedagogije i socijalnog rada. Konferencija će se održati od 24. do 27. veljače 2026. godine u </w:t>
      </w:r>
      <w:proofErr w:type="spellStart"/>
      <w:r>
        <w:t>Amadria</w:t>
      </w:r>
      <w:proofErr w:type="spellEnd"/>
      <w:r>
        <w:t xml:space="preserve"> Park Hotel Ivan, Šibenik (prijavljene 4 osobe iznos 1.587,20 eura) i plaćeni predujam za peć za pečenje keramike kapaciteta 7</w:t>
      </w:r>
      <w:r>
        <w:t>5 lit.(2.821,50 eura). </w:t>
      </w:r>
    </w:p>
    <w:p w:rsidR="00044533" w:rsidRDefault="005D51D1">
      <w:r>
        <w:t>AOP 16 – Potraživanja za prihode poslovanja </w:t>
      </w:r>
    </w:p>
    <w:p w:rsidR="00044533" w:rsidRDefault="005D51D1">
      <w:r>
        <w:t>Na temelju prijedloga inventurne komisije proknjižen je otpis ispravljenih nenaplaćenih potraživanja u ukupnom iznosu od 18.239,74 eura. Postupanje je provedeno sukladno odredbama Praviln</w:t>
      </w:r>
      <w:r>
        <w:t>ika o proračunskom računovodstvu i Računskog plana, kojima je propisana obveza provođenja ispravka vrijednosti svih potraživanja na AOP 169. U skladu s navedenim, zatvorena su nenaplaćena potraživanja, za koja su tijekom prethodnog razdoblja poduzete sve p</w:t>
      </w:r>
      <w:r>
        <w:t>ropisane radnje radi naplate prihoda i primitaka. </w:t>
      </w:r>
    </w:p>
    <w:p w:rsidR="00044533" w:rsidRDefault="005D51D1">
      <w:r>
        <w:t>Iskazani saldo nenaplaćenih potraživanja (AOP 16) odnosi se na sljedeće stavke:</w:t>
      </w:r>
    </w:p>
    <w:p w:rsidR="00044533" w:rsidRDefault="005D51D1">
      <w:r>
        <w:t xml:space="preserve">•       5.433,94 eura – potraživanja po izdanim fakturama (studeni i prosinac 2025.) za smještaj korisnika temeljem rješenja </w:t>
      </w:r>
      <w:r>
        <w:t>nadležnog centra HZSR</w:t>
      </w:r>
    </w:p>
    <w:p w:rsidR="00044533" w:rsidRDefault="005D51D1">
      <w:r>
        <w:t>•       7.369,74 eura – potraživanja po fakturama (studeni i prosinac 2025.) za usluge pomoći u kući koje, prema rješenju centra HZSR, podmiruje nadležno ministarstvo</w:t>
      </w:r>
    </w:p>
    <w:p w:rsidR="00044533" w:rsidRDefault="005D51D1">
      <w:r>
        <w:t>•       3.340,07 eura – potraživanja po fakturi (prosinac 2025.) za usluge pomoći u kući za korisnike koji uslugu koriste temeljem rješenja Gradskog ureda za socijalnu zaštitu. </w:t>
      </w:r>
    </w:p>
    <w:p w:rsidR="00044533" w:rsidRDefault="005D51D1">
      <w:r>
        <w:t>AOP 239- Ostale tekuće obveze odnosi se na obveze prema djelatnicima Doma (43,</w:t>
      </w:r>
      <w:r>
        <w:t xml:space="preserve">90 eura), obveze za povrat MRMSOSP za korekciju po fakturama za pomoć u kući u iznosu 286,15 </w:t>
      </w:r>
      <w:r>
        <w:lastRenderedPageBreak/>
        <w:t>eura. U 2025. godini  prenosimo obveze za jamčevine 773,62 eura, TELEMACH jamstvo za izvršenje ugovora.</w:t>
      </w:r>
    </w:p>
    <w:p w:rsidR="00044533" w:rsidRDefault="005D51D1">
      <w:r>
        <w:t>AOP 24 - Obveze za nefinancijsku imovinu odnose se na obvez</w:t>
      </w:r>
      <w:r>
        <w:t>e za kolica za dostavu hrane na odjel za demencije (50% plaćeno predujmom, a 50% u siječnju 2026. godine).</w:t>
      </w:r>
    </w:p>
    <w:p w:rsidR="00044533" w:rsidRDefault="005D51D1">
      <w:r>
        <w:t>AOP 2731 Obveze za naplaćene tuđe prihode </w:t>
      </w:r>
    </w:p>
    <w:p w:rsidR="00044533" w:rsidRDefault="005D51D1">
      <w:r>
        <w:t>obveza za  unaprijed uplaćene osobne potrebe u 2025 . godini u iznosu 345,03 eura i za nevraćene uplate obitelji korisnika u iznosu 3.461,68 eura(čeka se rješenje o ostavini)</w:t>
      </w:r>
    </w:p>
    <w:p w:rsidR="00044533" w:rsidRDefault="005D51D1">
      <w:r>
        <w:t>AOP 291 Obračunati rashodi koji nisu fakturirani odnose se na dvije isporuke svje</w:t>
      </w:r>
      <w:r>
        <w:t>žeg mesa zaprimljenog u prosincu, fakture (2) nisu stigle do 20. siječnja 2026. godine.</w:t>
      </w:r>
    </w:p>
    <w:p w:rsidR="00044533" w:rsidRDefault="005D51D1">
      <w:r>
        <w:rPr>
          <w:b/>
        </w:rPr>
        <w:t>III.             BILJEŠKE UZ RAS- FUNKCIJSKI  </w:t>
      </w:r>
    </w:p>
    <w:p w:rsidR="00044533" w:rsidRDefault="005D51D1">
      <w:r>
        <w:t>Obrazac RAS – funkcijski za razdoblje od 01. siječnja do 31. prosinca 2025. godine popunjen je ostvarenim iznosima rashod</w:t>
      </w:r>
      <w:r>
        <w:t>a sa obrasca PR-RAS (Y345). Ostvareni rashodi (Y345) u iznosu od 5.475.598,77 eura, su raspoređeni prema funkcijskoj klasifikaciji u obrascu na AOP 102 Starost, sukladno Pravilniku o proračunskom računovodstvu</w:t>
      </w:r>
    </w:p>
    <w:p w:rsidR="00044533" w:rsidRDefault="005D51D1">
      <w:r>
        <w:rPr>
          <w:b/>
        </w:rPr>
        <w:t>IV.                 BILJEŠKE UZ P-VRIO </w:t>
      </w:r>
    </w:p>
    <w:p w:rsidR="00044533" w:rsidRDefault="005D51D1">
      <w:r>
        <w:t>AOP P0</w:t>
      </w:r>
      <w:r>
        <w:t>03 Promjene u obujmu nefinancijske imovine, u iznosu 76.179,228 eura, smanjenje vrijednosti dugotrajne nefinancijske imovine odnosi se na redovan godišnji ispravak vrijednosti dugotrajne imovine za 2025. godinu. Od 2025. godine sukladno pravilniku ispravak</w:t>
      </w:r>
      <w:r>
        <w:t xml:space="preserve"> vrijednosti dugotrajne imovine provodi se preko računa 915.</w:t>
      </w:r>
    </w:p>
    <w:p w:rsidR="00044533" w:rsidRDefault="005D51D1">
      <w:r>
        <w:t>Povećanje vrijednosti proizvedene kratkotrajne imovine(P022) odnosi se na preuzimanje opreme i sredstava za rad namijenjenih korisnicima uključenima u radove za opće dobro bez naknade, sukladno o</w:t>
      </w:r>
      <w:r>
        <w:t>dredbama Zakona o socijalnoj skrbi. Preuzeta oprema obuhvaća gumene čizme, radne cipele, radnu odjeću, metle, lopate za snijeg i grablje, a zaprimljena je od Gradskog ureda za socijalnu zaštitu, zdravstvo, branitelje i osobe s invaliditetom temeljem zapisn</w:t>
      </w:r>
      <w:r>
        <w:t>ika o primopredaji od 28. travnja 2025. godine. Procijenjena vrijednost preuzete opreme iznosi 1.044,00 eura.</w:t>
      </w:r>
    </w:p>
    <w:p w:rsidR="00044533" w:rsidRDefault="005D51D1">
      <w:r>
        <w:t> </w:t>
      </w:r>
    </w:p>
    <w:p w:rsidR="00044533" w:rsidRDefault="00044533"/>
    <w:sectPr w:rsidR="000445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533"/>
    <w:rsid w:val="00044533"/>
    <w:rsid w:val="005D51D1"/>
    <w:rsid w:val="00A6142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44F4A3-62E5-4384-9AE6-90B2886A6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hr-HR" w:eastAsia="hr-H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2975</Words>
  <Characters>16963</Characters>
  <Application>Microsoft Office Word</Application>
  <DocSecurity>0</DocSecurity>
  <Lines>141</Lines>
  <Paragraphs>39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2026-02-09T12:15:00Z</dcterms:created>
  <dcterms:modified xsi:type="dcterms:W3CDTF">2026-02-09T12:15:00Z</dcterms:modified>
</cp:coreProperties>
</file>